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exact"/>
        <w:rPr>
          <w:rFonts w:hint="eastAsia" w:eastAsia="仿宋_GB2312"/>
          <w:b/>
          <w:sz w:val="32"/>
          <w:szCs w:val="32"/>
        </w:rPr>
      </w:pPr>
      <w:r>
        <w:rPr>
          <w:rFonts w:eastAsia="仿宋_GB2312"/>
          <w:b/>
          <w:sz w:val="32"/>
          <w:szCs w:val="32"/>
        </w:rPr>
        <w:t>附件</w:t>
      </w:r>
      <w:r>
        <w:rPr>
          <w:rFonts w:hint="eastAsia" w:eastAsia="仿宋_GB2312"/>
          <w:b/>
          <w:sz w:val="32"/>
          <w:szCs w:val="32"/>
        </w:rPr>
        <w:t>一</w:t>
      </w:r>
    </w:p>
    <w:p>
      <w:pPr>
        <w:jc w:val="center"/>
        <w:rPr>
          <w:rFonts w:ascii="宋体" w:hAnsi="宋体" w:cs="宋体"/>
          <w:b/>
          <w:bCs/>
          <w:sz w:val="44"/>
          <w:szCs w:val="44"/>
        </w:rPr>
      </w:pPr>
      <w:r>
        <w:rPr>
          <w:rFonts w:hint="eastAsia" w:ascii="宋体" w:hAnsi="宋体" w:cs="宋体"/>
          <w:b/>
          <w:bCs/>
          <w:sz w:val="44"/>
          <w:szCs w:val="44"/>
        </w:rPr>
        <w:t>深圳市园林绿化企业信用评价指标体系</w:t>
      </w:r>
    </w:p>
    <w:tbl>
      <w:tblPr>
        <w:tblStyle w:val="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71"/>
        <w:gridCol w:w="457"/>
        <w:gridCol w:w="5469"/>
        <w:gridCol w:w="45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701" w:type="dxa"/>
            <w:vAlign w:val="center"/>
          </w:tcPr>
          <w:p>
            <w:pPr>
              <w:jc w:val="center"/>
              <w:rPr>
                <w:rFonts w:ascii="宋体" w:hAnsi="宋体"/>
                <w:b/>
                <w:bCs/>
                <w:sz w:val="24"/>
                <w:szCs w:val="24"/>
              </w:rPr>
            </w:pPr>
            <w:r>
              <w:rPr>
                <w:rFonts w:hint="eastAsia" w:ascii="宋体" w:hAnsi="宋体"/>
                <w:b/>
                <w:bCs/>
                <w:sz w:val="24"/>
                <w:szCs w:val="24"/>
              </w:rPr>
              <w:t>项目</w:t>
            </w:r>
          </w:p>
        </w:tc>
        <w:tc>
          <w:tcPr>
            <w:tcW w:w="1671" w:type="dxa"/>
            <w:vAlign w:val="center"/>
          </w:tcPr>
          <w:p>
            <w:pPr>
              <w:spacing w:line="360" w:lineRule="auto"/>
              <w:jc w:val="center"/>
              <w:rPr>
                <w:rFonts w:ascii="宋体" w:hAnsi="宋体"/>
                <w:b/>
                <w:bCs/>
                <w:sz w:val="24"/>
                <w:szCs w:val="24"/>
              </w:rPr>
            </w:pPr>
            <w:r>
              <w:rPr>
                <w:rFonts w:hint="eastAsia" w:ascii="宋体" w:hAnsi="宋体"/>
                <w:b/>
                <w:bCs/>
                <w:sz w:val="24"/>
                <w:szCs w:val="24"/>
              </w:rPr>
              <w:t>评 价 内 容</w:t>
            </w:r>
          </w:p>
        </w:tc>
        <w:tc>
          <w:tcPr>
            <w:tcW w:w="457" w:type="dxa"/>
            <w:vAlign w:val="center"/>
          </w:tcPr>
          <w:p>
            <w:pPr>
              <w:spacing w:line="360" w:lineRule="auto"/>
              <w:jc w:val="center"/>
              <w:rPr>
                <w:rFonts w:ascii="宋体" w:hAnsi="宋体"/>
                <w:b/>
                <w:bCs/>
                <w:sz w:val="24"/>
                <w:szCs w:val="24"/>
              </w:rPr>
            </w:pPr>
            <w:r>
              <w:rPr>
                <w:rFonts w:hint="eastAsia" w:ascii="宋体" w:hAnsi="宋体"/>
                <w:b/>
                <w:bCs/>
                <w:sz w:val="24"/>
                <w:szCs w:val="24"/>
              </w:rPr>
              <w:t>满分分值</w:t>
            </w:r>
          </w:p>
        </w:tc>
        <w:tc>
          <w:tcPr>
            <w:tcW w:w="5469" w:type="dxa"/>
            <w:vAlign w:val="center"/>
          </w:tcPr>
          <w:p>
            <w:pPr>
              <w:spacing w:line="360" w:lineRule="auto"/>
              <w:jc w:val="center"/>
              <w:rPr>
                <w:rFonts w:ascii="宋体" w:hAnsi="宋体"/>
                <w:b/>
                <w:bCs/>
                <w:sz w:val="24"/>
                <w:szCs w:val="24"/>
              </w:rPr>
            </w:pPr>
            <w:r>
              <w:rPr>
                <w:rFonts w:hint="eastAsia" w:ascii="宋体" w:hAnsi="宋体"/>
                <w:b/>
                <w:bCs/>
                <w:sz w:val="24"/>
                <w:szCs w:val="24"/>
              </w:rPr>
              <w:t>评  价  标  准</w:t>
            </w:r>
          </w:p>
        </w:tc>
        <w:tc>
          <w:tcPr>
            <w:tcW w:w="457" w:type="dxa"/>
            <w:vAlign w:val="center"/>
          </w:tcPr>
          <w:p>
            <w:pPr>
              <w:spacing w:line="360" w:lineRule="auto"/>
              <w:jc w:val="center"/>
              <w:rPr>
                <w:rFonts w:ascii="宋体" w:hAnsi="宋体"/>
                <w:b/>
                <w:bCs/>
                <w:sz w:val="24"/>
                <w:szCs w:val="24"/>
              </w:rPr>
            </w:pPr>
            <w:r>
              <w:rPr>
                <w:rFonts w:hint="eastAsia" w:ascii="宋体" w:hAnsi="宋体"/>
                <w:b/>
                <w:bCs/>
                <w:sz w:val="24"/>
                <w:szCs w:val="24"/>
              </w:rPr>
              <w:t>分值</w:t>
            </w:r>
          </w:p>
        </w:tc>
        <w:tc>
          <w:tcPr>
            <w:tcW w:w="531" w:type="dxa"/>
            <w:vAlign w:val="center"/>
          </w:tcPr>
          <w:p>
            <w:pPr>
              <w:spacing w:line="360" w:lineRule="auto"/>
              <w:jc w:val="center"/>
              <w:rPr>
                <w:rFonts w:ascii="宋体" w:hAnsi="宋体"/>
                <w:b/>
                <w:bCs/>
                <w:sz w:val="24"/>
                <w:szCs w:val="24"/>
              </w:rPr>
            </w:pPr>
            <w:r>
              <w:rPr>
                <w:rFonts w:hint="eastAsia" w:ascii="宋体" w:hAnsi="宋体"/>
                <w:b/>
                <w:bCs/>
                <w:sz w:val="24"/>
                <w:szCs w:val="24"/>
              </w:rPr>
              <w:t>单项得分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701" w:type="dxa"/>
            <w:vMerge w:val="restart"/>
            <w:vAlign w:val="center"/>
          </w:tcPr>
          <w:p>
            <w:pPr>
              <w:spacing w:line="480" w:lineRule="auto"/>
              <w:jc w:val="center"/>
              <w:rPr>
                <w:rFonts w:ascii="宋体" w:hAnsi="宋体"/>
                <w:b/>
                <w:bCs/>
                <w:sz w:val="24"/>
                <w:szCs w:val="24"/>
              </w:rPr>
            </w:pPr>
            <w:r>
              <w:rPr>
                <w:rFonts w:hint="eastAsia" w:ascii="宋体" w:hAnsi="宋体"/>
                <w:b/>
                <w:bCs/>
                <w:sz w:val="24"/>
                <w:szCs w:val="24"/>
              </w:rPr>
              <w:t>一、信用管理体系建设情况</w:t>
            </w:r>
          </w:p>
        </w:tc>
        <w:tc>
          <w:tcPr>
            <w:tcW w:w="1671" w:type="dxa"/>
            <w:vMerge w:val="restart"/>
            <w:vAlign w:val="center"/>
          </w:tcPr>
          <w:p>
            <w:pPr>
              <w:spacing w:line="360" w:lineRule="auto"/>
              <w:jc w:val="center"/>
              <w:rPr>
                <w:rFonts w:ascii="宋体" w:hAnsi="宋体"/>
                <w:szCs w:val="21"/>
              </w:rPr>
            </w:pPr>
            <w:r>
              <w:rPr>
                <w:rFonts w:hint="eastAsia" w:ascii="宋体" w:hAnsi="宋体"/>
                <w:szCs w:val="21"/>
              </w:rPr>
              <w:t>信用管理制度</w:t>
            </w:r>
          </w:p>
        </w:tc>
        <w:tc>
          <w:tcPr>
            <w:tcW w:w="457" w:type="dxa"/>
            <w:vMerge w:val="restart"/>
            <w:vAlign w:val="center"/>
          </w:tcPr>
          <w:p>
            <w:pPr>
              <w:spacing w:line="360" w:lineRule="auto"/>
              <w:jc w:val="center"/>
              <w:rPr>
                <w:rFonts w:ascii="宋体" w:hAnsi="宋体"/>
                <w:szCs w:val="21"/>
              </w:rPr>
            </w:pPr>
            <w:r>
              <w:rPr>
                <w:rFonts w:hint="eastAsia" w:ascii="宋体" w:hAnsi="宋体"/>
                <w:szCs w:val="21"/>
              </w:rPr>
              <w:t>8</w:t>
            </w:r>
          </w:p>
        </w:tc>
        <w:tc>
          <w:tcPr>
            <w:tcW w:w="5469" w:type="dxa"/>
            <w:vAlign w:val="center"/>
          </w:tcPr>
          <w:p>
            <w:pPr>
              <w:pStyle w:val="9"/>
              <w:numPr>
                <w:ilvl w:val="0"/>
                <w:numId w:val="1"/>
              </w:numPr>
              <w:spacing w:line="360" w:lineRule="auto"/>
              <w:ind w:firstLineChars="0"/>
              <w:rPr>
                <w:rFonts w:ascii="宋体" w:hAnsi="宋体"/>
                <w:szCs w:val="21"/>
              </w:rPr>
            </w:pPr>
            <w:r>
              <w:rPr>
                <w:rFonts w:hint="eastAsia" w:ascii="宋体" w:hAnsi="宋体"/>
                <w:szCs w:val="21"/>
              </w:rPr>
              <w:t>合同管理制度；</w:t>
            </w:r>
          </w:p>
        </w:tc>
        <w:tc>
          <w:tcPr>
            <w:tcW w:w="457" w:type="dxa"/>
            <w:vAlign w:val="center"/>
          </w:tcPr>
          <w:p>
            <w:pPr>
              <w:spacing w:line="360" w:lineRule="auto"/>
              <w:jc w:val="center"/>
              <w:rPr>
                <w:rFonts w:ascii="宋体" w:hAnsi="宋体"/>
                <w:szCs w:val="21"/>
              </w:rPr>
            </w:pPr>
          </w:p>
        </w:tc>
        <w:tc>
          <w:tcPr>
            <w:tcW w:w="531" w:type="dxa"/>
            <w:vMerge w:val="restar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1"/>
              </w:numPr>
              <w:spacing w:line="360" w:lineRule="auto"/>
              <w:ind w:firstLineChars="0"/>
              <w:rPr>
                <w:rFonts w:ascii="宋体" w:hAnsi="宋体"/>
                <w:szCs w:val="21"/>
              </w:rPr>
            </w:pPr>
            <w:r>
              <w:rPr>
                <w:rFonts w:hint="eastAsia" w:ascii="宋体" w:hAnsi="宋体"/>
                <w:szCs w:val="21"/>
              </w:rPr>
              <w:t>客户资信调查制度；</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1"/>
              </w:numPr>
              <w:spacing w:line="360" w:lineRule="auto"/>
              <w:ind w:firstLineChars="0"/>
              <w:rPr>
                <w:rFonts w:ascii="宋体" w:hAnsi="宋体"/>
                <w:szCs w:val="21"/>
              </w:rPr>
            </w:pPr>
            <w:r>
              <w:rPr>
                <w:rFonts w:hint="eastAsia" w:ascii="宋体" w:hAnsi="宋体"/>
                <w:szCs w:val="21"/>
              </w:rPr>
              <w:t>财务、税务管理制度；</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1"/>
              </w:numPr>
              <w:spacing w:line="360" w:lineRule="auto"/>
              <w:ind w:firstLineChars="0"/>
              <w:rPr>
                <w:rFonts w:ascii="宋体" w:hAnsi="宋体"/>
                <w:szCs w:val="21"/>
              </w:rPr>
            </w:pPr>
            <w:r>
              <w:rPr>
                <w:rFonts w:hint="eastAsia" w:ascii="宋体" w:hAnsi="宋体"/>
                <w:szCs w:val="21"/>
              </w:rPr>
              <w:t>质量管理制度；</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1"/>
              </w:numPr>
              <w:spacing w:line="360" w:lineRule="auto"/>
              <w:ind w:firstLineChars="0"/>
              <w:rPr>
                <w:rFonts w:ascii="宋体" w:hAnsi="宋体"/>
                <w:szCs w:val="21"/>
              </w:rPr>
            </w:pPr>
            <w:r>
              <w:rPr>
                <w:rFonts w:hint="eastAsia" w:ascii="宋体" w:hAnsi="宋体"/>
                <w:szCs w:val="21"/>
              </w:rPr>
              <w:t>售后服务制度；</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1"/>
              </w:numPr>
              <w:spacing w:line="360" w:lineRule="auto"/>
              <w:ind w:firstLineChars="0"/>
              <w:rPr>
                <w:rFonts w:ascii="宋体" w:hAnsi="宋体"/>
                <w:szCs w:val="21"/>
              </w:rPr>
            </w:pPr>
            <w:r>
              <w:rPr>
                <w:rFonts w:hint="eastAsia" w:ascii="宋体" w:hAnsi="宋体"/>
                <w:szCs w:val="21"/>
              </w:rPr>
              <w:t>劳动用工制度；</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1"/>
              </w:numPr>
              <w:spacing w:line="360" w:lineRule="auto"/>
              <w:ind w:firstLineChars="0"/>
              <w:rPr>
                <w:rFonts w:ascii="宋体" w:hAnsi="宋体"/>
                <w:szCs w:val="21"/>
              </w:rPr>
            </w:pPr>
            <w:r>
              <w:rPr>
                <w:rFonts w:hint="eastAsia" w:ascii="宋体" w:hAnsi="宋体"/>
                <w:szCs w:val="21"/>
              </w:rPr>
              <w:t>法定代表人授权委托制度；</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1"/>
              </w:numPr>
              <w:spacing w:line="360" w:lineRule="auto"/>
              <w:ind w:firstLineChars="0"/>
              <w:rPr>
                <w:rFonts w:ascii="宋体" w:hAnsi="宋体"/>
                <w:szCs w:val="21"/>
              </w:rPr>
            </w:pPr>
            <w:r>
              <w:rPr>
                <w:rFonts w:hint="eastAsia" w:ascii="宋体" w:hAnsi="宋体"/>
                <w:szCs w:val="21"/>
              </w:rPr>
              <w:t>安全、文明、环保管理制度。（每项1分）</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restart"/>
            <w:vAlign w:val="center"/>
          </w:tcPr>
          <w:p>
            <w:pPr>
              <w:spacing w:line="360" w:lineRule="auto"/>
              <w:jc w:val="center"/>
              <w:rPr>
                <w:rFonts w:ascii="宋体" w:hAnsi="宋体"/>
                <w:szCs w:val="21"/>
              </w:rPr>
            </w:pPr>
            <w:r>
              <w:rPr>
                <w:rFonts w:hint="eastAsia" w:ascii="宋体" w:hAnsi="宋体"/>
                <w:szCs w:val="21"/>
              </w:rPr>
              <w:t>信用管理机构</w:t>
            </w:r>
          </w:p>
        </w:tc>
        <w:tc>
          <w:tcPr>
            <w:tcW w:w="457" w:type="dxa"/>
            <w:vMerge w:val="restart"/>
            <w:vAlign w:val="center"/>
          </w:tcPr>
          <w:p>
            <w:pPr>
              <w:spacing w:line="360" w:lineRule="auto"/>
              <w:jc w:val="center"/>
              <w:rPr>
                <w:rFonts w:ascii="宋体" w:hAnsi="宋体"/>
                <w:szCs w:val="21"/>
              </w:rPr>
            </w:pPr>
            <w:r>
              <w:rPr>
                <w:rFonts w:hint="eastAsia" w:ascii="宋体" w:hAnsi="宋体"/>
                <w:szCs w:val="21"/>
              </w:rPr>
              <w:t>3</w:t>
            </w:r>
          </w:p>
        </w:tc>
        <w:tc>
          <w:tcPr>
            <w:tcW w:w="5469" w:type="dxa"/>
            <w:vAlign w:val="center"/>
          </w:tcPr>
          <w:p>
            <w:pPr>
              <w:numPr>
                <w:ilvl w:val="0"/>
                <w:numId w:val="2"/>
              </w:numPr>
              <w:tabs>
                <w:tab w:val="clear" w:pos="360"/>
              </w:tabs>
              <w:spacing w:line="360" w:lineRule="auto"/>
              <w:ind w:left="0" w:firstLine="0"/>
              <w:jc w:val="left"/>
              <w:rPr>
                <w:rFonts w:ascii="宋体" w:hAnsi="宋体"/>
                <w:szCs w:val="21"/>
              </w:rPr>
            </w:pPr>
            <w:r>
              <w:rPr>
                <w:rFonts w:ascii="宋体" w:hAnsi="宋体"/>
                <w:szCs w:val="21"/>
              </w:rPr>
              <w:t>设立完善的信用</w:t>
            </w:r>
            <w:r>
              <w:rPr>
                <w:rFonts w:hint="eastAsia" w:ascii="宋体" w:hAnsi="宋体"/>
                <w:szCs w:val="21"/>
              </w:rPr>
              <w:t>、</w:t>
            </w:r>
            <w:r>
              <w:rPr>
                <w:rFonts w:ascii="宋体" w:hAnsi="宋体"/>
                <w:szCs w:val="21"/>
              </w:rPr>
              <w:t>质检和安全的</w:t>
            </w:r>
            <w:r>
              <w:rPr>
                <w:rFonts w:hint="eastAsia" w:ascii="宋体" w:hAnsi="宋体"/>
                <w:szCs w:val="21"/>
              </w:rPr>
              <w:t>管理</w:t>
            </w:r>
            <w:r>
              <w:rPr>
                <w:rFonts w:ascii="宋体" w:hAnsi="宋体"/>
                <w:szCs w:val="21"/>
              </w:rPr>
              <w:t>组织机构</w:t>
            </w:r>
            <w:r>
              <w:rPr>
                <w:rFonts w:hint="eastAsia" w:ascii="宋体" w:hAnsi="宋体"/>
                <w:szCs w:val="21"/>
              </w:rPr>
              <w:t>。</w:t>
            </w:r>
          </w:p>
        </w:tc>
        <w:tc>
          <w:tcPr>
            <w:tcW w:w="457" w:type="dxa"/>
            <w:vAlign w:val="center"/>
          </w:tcPr>
          <w:p>
            <w:pPr>
              <w:spacing w:line="360" w:lineRule="auto"/>
              <w:jc w:val="center"/>
              <w:rPr>
                <w:szCs w:val="21"/>
              </w:rPr>
            </w:pPr>
          </w:p>
        </w:tc>
        <w:tc>
          <w:tcPr>
            <w:tcW w:w="531" w:type="dxa"/>
            <w:vMerge w:val="restar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numPr>
                <w:ilvl w:val="0"/>
                <w:numId w:val="2"/>
              </w:numPr>
              <w:tabs>
                <w:tab w:val="clear" w:pos="360"/>
              </w:tabs>
              <w:spacing w:line="360" w:lineRule="auto"/>
              <w:ind w:left="0" w:firstLine="0"/>
              <w:jc w:val="left"/>
              <w:rPr>
                <w:rFonts w:ascii="宋体" w:hAnsi="宋体"/>
                <w:szCs w:val="21"/>
              </w:rPr>
            </w:pPr>
            <w:r>
              <w:rPr>
                <w:rFonts w:ascii="宋体" w:hAnsi="宋体"/>
                <w:szCs w:val="21"/>
              </w:rPr>
              <w:t>明确各组织机构部门职责</w:t>
            </w:r>
            <w:r>
              <w:rPr>
                <w:rFonts w:hint="eastAsia" w:ascii="宋体" w:hAnsi="宋体"/>
                <w:szCs w:val="21"/>
              </w:rPr>
              <w:t>；</w:t>
            </w:r>
          </w:p>
        </w:tc>
        <w:tc>
          <w:tcPr>
            <w:tcW w:w="457" w:type="dxa"/>
            <w:vAlign w:val="center"/>
          </w:tcPr>
          <w:p>
            <w:pPr>
              <w:spacing w:line="360" w:lineRule="auto"/>
              <w:jc w:val="center"/>
              <w:rPr>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numPr>
                <w:ilvl w:val="0"/>
                <w:numId w:val="2"/>
              </w:numPr>
              <w:tabs>
                <w:tab w:val="clear" w:pos="360"/>
              </w:tabs>
              <w:spacing w:line="360" w:lineRule="auto"/>
              <w:ind w:left="0" w:firstLine="0"/>
              <w:jc w:val="left"/>
              <w:rPr>
                <w:rFonts w:ascii="宋体" w:hAnsi="宋体"/>
                <w:szCs w:val="21"/>
              </w:rPr>
            </w:pPr>
            <w:r>
              <w:rPr>
                <w:rFonts w:ascii="宋体" w:hAnsi="宋体"/>
                <w:szCs w:val="21"/>
              </w:rPr>
              <w:t>配备各机构主要人员</w:t>
            </w:r>
            <w:r>
              <w:rPr>
                <w:rFonts w:hint="eastAsia" w:ascii="宋体" w:hAnsi="宋体"/>
                <w:szCs w:val="21"/>
              </w:rPr>
              <w:t>。（每项1分）</w:t>
            </w:r>
          </w:p>
        </w:tc>
        <w:tc>
          <w:tcPr>
            <w:tcW w:w="457" w:type="dxa"/>
            <w:vAlign w:val="center"/>
          </w:tcPr>
          <w:p>
            <w:pPr>
              <w:spacing w:line="360" w:lineRule="auto"/>
              <w:jc w:val="center"/>
              <w:rPr>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701" w:type="dxa"/>
            <w:vMerge w:val="continue"/>
            <w:vAlign w:val="center"/>
          </w:tcPr>
          <w:p>
            <w:pPr>
              <w:jc w:val="center"/>
              <w:rPr>
                <w:rFonts w:ascii="宋体" w:hAnsi="宋体"/>
                <w:b/>
                <w:bCs/>
                <w:sz w:val="24"/>
                <w:szCs w:val="24"/>
              </w:rPr>
            </w:pPr>
          </w:p>
        </w:tc>
        <w:tc>
          <w:tcPr>
            <w:tcW w:w="1671" w:type="dxa"/>
            <w:vMerge w:val="restart"/>
            <w:vAlign w:val="center"/>
          </w:tcPr>
          <w:p>
            <w:pPr>
              <w:spacing w:line="360" w:lineRule="auto"/>
              <w:jc w:val="center"/>
              <w:rPr>
                <w:rFonts w:ascii="宋体" w:hAnsi="宋体"/>
                <w:szCs w:val="21"/>
              </w:rPr>
            </w:pPr>
            <w:r>
              <w:rPr>
                <w:rFonts w:hint="eastAsia" w:ascii="宋体" w:hAnsi="宋体"/>
                <w:szCs w:val="21"/>
              </w:rPr>
              <w:t>信用管理基本情况</w:t>
            </w:r>
          </w:p>
        </w:tc>
        <w:tc>
          <w:tcPr>
            <w:tcW w:w="457" w:type="dxa"/>
            <w:vMerge w:val="restart"/>
            <w:vAlign w:val="center"/>
          </w:tcPr>
          <w:p>
            <w:pPr>
              <w:spacing w:line="360" w:lineRule="auto"/>
              <w:jc w:val="center"/>
              <w:rPr>
                <w:rFonts w:ascii="宋体" w:hAnsi="宋体"/>
                <w:szCs w:val="21"/>
              </w:rPr>
            </w:pPr>
            <w:r>
              <w:rPr>
                <w:rFonts w:hint="eastAsia" w:ascii="宋体" w:hAnsi="宋体"/>
                <w:szCs w:val="21"/>
              </w:rPr>
              <w:t>4</w:t>
            </w:r>
          </w:p>
        </w:tc>
        <w:tc>
          <w:tcPr>
            <w:tcW w:w="5469" w:type="dxa"/>
            <w:vAlign w:val="center"/>
          </w:tcPr>
          <w:p>
            <w:pPr>
              <w:pStyle w:val="9"/>
              <w:numPr>
                <w:ilvl w:val="0"/>
                <w:numId w:val="3"/>
              </w:numPr>
              <w:spacing w:line="360" w:lineRule="auto"/>
              <w:ind w:left="290" w:hanging="289" w:hangingChars="138"/>
              <w:jc w:val="left"/>
              <w:rPr>
                <w:rFonts w:ascii="宋体" w:hAnsi="宋体"/>
                <w:szCs w:val="21"/>
              </w:rPr>
            </w:pPr>
            <w:r>
              <w:rPr>
                <w:rFonts w:hint="eastAsia" w:ascii="宋体" w:hAnsi="宋体"/>
                <w:szCs w:val="21"/>
              </w:rPr>
              <w:t>劳动用工规范，按规定缴纳了社保，并使用劳动和社会保障局印制的合同范本。</w:t>
            </w:r>
          </w:p>
        </w:tc>
        <w:tc>
          <w:tcPr>
            <w:tcW w:w="457" w:type="dxa"/>
            <w:vAlign w:val="center"/>
          </w:tcPr>
          <w:p>
            <w:pPr>
              <w:spacing w:line="360" w:lineRule="auto"/>
              <w:jc w:val="center"/>
              <w:rPr>
                <w:rFonts w:ascii="宋体" w:hAnsi="宋体"/>
                <w:szCs w:val="21"/>
              </w:rPr>
            </w:pPr>
          </w:p>
        </w:tc>
        <w:tc>
          <w:tcPr>
            <w:tcW w:w="531" w:type="dxa"/>
            <w:vMerge w:val="restar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3"/>
              </w:numPr>
              <w:spacing w:line="360" w:lineRule="auto"/>
              <w:ind w:left="290" w:hanging="289" w:hangingChars="138"/>
              <w:jc w:val="left"/>
              <w:rPr>
                <w:rFonts w:ascii="宋体" w:hAnsi="宋体"/>
                <w:szCs w:val="21"/>
              </w:rPr>
            </w:pPr>
            <w:r>
              <w:rPr>
                <w:rFonts w:hint="eastAsia" w:ascii="宋体" w:hAnsi="宋体"/>
                <w:szCs w:val="21"/>
              </w:rPr>
              <w:t>有规范、完整的合同台账和档案，能及时、准确地提供统计数据和有关资料。</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3"/>
              </w:numPr>
              <w:spacing w:line="360" w:lineRule="auto"/>
              <w:ind w:left="420" w:hanging="420" w:hangingChars="200"/>
              <w:jc w:val="left"/>
              <w:rPr>
                <w:rFonts w:ascii="宋体" w:hAnsi="宋体"/>
                <w:szCs w:val="21"/>
              </w:rPr>
            </w:pPr>
            <w:r>
              <w:rPr>
                <w:rFonts w:ascii="宋体" w:hAnsi="宋体"/>
                <w:szCs w:val="21"/>
              </w:rPr>
              <w:t>财务管理规范</w:t>
            </w:r>
            <w:r>
              <w:rPr>
                <w:rFonts w:hint="eastAsia" w:ascii="宋体" w:hAnsi="宋体"/>
                <w:szCs w:val="21"/>
              </w:rPr>
              <w:t>，有会计事务所出具的审计报告。</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3"/>
              </w:numPr>
              <w:spacing w:line="360" w:lineRule="auto"/>
              <w:ind w:left="290" w:hanging="289" w:hangingChars="138"/>
              <w:jc w:val="left"/>
              <w:rPr>
                <w:rFonts w:ascii="宋体" w:hAnsi="宋体"/>
                <w:szCs w:val="21"/>
              </w:rPr>
            </w:pPr>
            <w:r>
              <w:rPr>
                <w:rFonts w:hint="eastAsia" w:ascii="宋体" w:hAnsi="宋体"/>
                <w:szCs w:val="21"/>
              </w:rPr>
              <w:t>施工管理规范，严格执行国家、地方及行业的园林施工标准和规范，质检和安全管理资料齐全。（每项1分）</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bl>
    <w:p>
      <w:pPr>
        <w:rPr>
          <w:rFonts w:ascii="宋体" w:hAnsi="宋体"/>
          <w:color w:val="0070C0"/>
          <w:sz w:val="24"/>
          <w:szCs w:val="24"/>
        </w:rPr>
      </w:pPr>
    </w:p>
    <w:p>
      <w:pPr>
        <w:widowControl/>
        <w:jc w:val="left"/>
        <w:rPr>
          <w:rFonts w:ascii="宋体" w:hAnsi="宋体"/>
          <w:sz w:val="24"/>
          <w:szCs w:val="24"/>
        </w:rPr>
      </w:pPr>
      <w:r>
        <w:rPr>
          <w:rFonts w:ascii="宋体" w:hAnsi="宋体"/>
          <w:sz w:val="24"/>
          <w:szCs w:val="24"/>
        </w:rPr>
        <w:br w:type="page"/>
      </w:r>
    </w:p>
    <w:tbl>
      <w:tblPr>
        <w:tblStyle w:val="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71"/>
        <w:gridCol w:w="457"/>
        <w:gridCol w:w="5469"/>
        <w:gridCol w:w="45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701" w:type="dxa"/>
            <w:vAlign w:val="center"/>
          </w:tcPr>
          <w:p>
            <w:pPr>
              <w:jc w:val="center"/>
              <w:rPr>
                <w:rFonts w:ascii="宋体" w:hAnsi="宋体"/>
                <w:b/>
                <w:bCs/>
                <w:sz w:val="24"/>
                <w:szCs w:val="24"/>
              </w:rPr>
            </w:pPr>
            <w:r>
              <w:rPr>
                <w:rFonts w:hint="eastAsia" w:ascii="宋体" w:hAnsi="宋体"/>
                <w:b/>
                <w:bCs/>
                <w:sz w:val="24"/>
                <w:szCs w:val="24"/>
              </w:rPr>
              <w:t>项目</w:t>
            </w:r>
          </w:p>
        </w:tc>
        <w:tc>
          <w:tcPr>
            <w:tcW w:w="1671" w:type="dxa"/>
            <w:vAlign w:val="center"/>
          </w:tcPr>
          <w:p>
            <w:pPr>
              <w:spacing w:line="360" w:lineRule="auto"/>
              <w:jc w:val="center"/>
              <w:rPr>
                <w:rFonts w:ascii="宋体" w:hAnsi="宋体"/>
                <w:b/>
                <w:bCs/>
                <w:sz w:val="24"/>
                <w:szCs w:val="24"/>
              </w:rPr>
            </w:pPr>
            <w:r>
              <w:rPr>
                <w:rFonts w:hint="eastAsia" w:ascii="宋体" w:hAnsi="宋体"/>
                <w:b/>
                <w:bCs/>
                <w:sz w:val="24"/>
                <w:szCs w:val="24"/>
              </w:rPr>
              <w:t>评 价 内 容</w:t>
            </w:r>
          </w:p>
        </w:tc>
        <w:tc>
          <w:tcPr>
            <w:tcW w:w="457" w:type="dxa"/>
            <w:vAlign w:val="center"/>
          </w:tcPr>
          <w:p>
            <w:pPr>
              <w:spacing w:line="360" w:lineRule="auto"/>
              <w:jc w:val="center"/>
              <w:rPr>
                <w:rFonts w:ascii="宋体" w:hAnsi="宋体"/>
                <w:b/>
                <w:bCs/>
                <w:sz w:val="24"/>
                <w:szCs w:val="24"/>
              </w:rPr>
            </w:pPr>
            <w:r>
              <w:rPr>
                <w:rFonts w:hint="eastAsia" w:ascii="宋体" w:hAnsi="宋体"/>
                <w:b/>
                <w:bCs/>
                <w:sz w:val="24"/>
                <w:szCs w:val="24"/>
              </w:rPr>
              <w:t>满分分值</w:t>
            </w:r>
          </w:p>
        </w:tc>
        <w:tc>
          <w:tcPr>
            <w:tcW w:w="5469" w:type="dxa"/>
            <w:vAlign w:val="center"/>
          </w:tcPr>
          <w:p>
            <w:pPr>
              <w:spacing w:line="360" w:lineRule="auto"/>
              <w:jc w:val="center"/>
              <w:rPr>
                <w:rFonts w:ascii="宋体" w:hAnsi="宋体"/>
                <w:b/>
                <w:bCs/>
                <w:sz w:val="24"/>
                <w:szCs w:val="24"/>
              </w:rPr>
            </w:pPr>
            <w:r>
              <w:rPr>
                <w:rFonts w:hint="eastAsia" w:ascii="宋体" w:hAnsi="宋体"/>
                <w:b/>
                <w:bCs/>
                <w:sz w:val="24"/>
                <w:szCs w:val="24"/>
              </w:rPr>
              <w:t>评  价  标  准</w:t>
            </w:r>
          </w:p>
        </w:tc>
        <w:tc>
          <w:tcPr>
            <w:tcW w:w="457" w:type="dxa"/>
            <w:vAlign w:val="center"/>
          </w:tcPr>
          <w:p>
            <w:pPr>
              <w:spacing w:line="360" w:lineRule="auto"/>
              <w:jc w:val="center"/>
              <w:rPr>
                <w:rFonts w:ascii="宋体" w:hAnsi="宋体"/>
                <w:b/>
                <w:bCs/>
                <w:sz w:val="24"/>
                <w:szCs w:val="24"/>
              </w:rPr>
            </w:pPr>
            <w:r>
              <w:rPr>
                <w:rFonts w:hint="eastAsia" w:ascii="宋体" w:hAnsi="宋体"/>
                <w:b/>
                <w:bCs/>
                <w:sz w:val="24"/>
                <w:szCs w:val="24"/>
              </w:rPr>
              <w:t>得分</w:t>
            </w:r>
          </w:p>
        </w:tc>
        <w:tc>
          <w:tcPr>
            <w:tcW w:w="531" w:type="dxa"/>
            <w:vAlign w:val="center"/>
          </w:tcPr>
          <w:p>
            <w:pPr>
              <w:spacing w:line="360" w:lineRule="auto"/>
              <w:jc w:val="center"/>
              <w:rPr>
                <w:rFonts w:ascii="宋体" w:hAnsi="宋体"/>
                <w:b/>
                <w:bCs/>
                <w:sz w:val="24"/>
                <w:szCs w:val="24"/>
              </w:rPr>
            </w:pPr>
            <w:r>
              <w:rPr>
                <w:rFonts w:hint="eastAsia" w:ascii="宋体" w:hAnsi="宋体"/>
                <w:b/>
                <w:bCs/>
                <w:sz w:val="24"/>
                <w:szCs w:val="24"/>
              </w:rPr>
              <w:t>单项得分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6" w:hRule="atLeast"/>
          <w:jc w:val="center"/>
        </w:trPr>
        <w:tc>
          <w:tcPr>
            <w:tcW w:w="701" w:type="dxa"/>
            <w:vMerge w:val="restart"/>
            <w:vAlign w:val="center"/>
          </w:tcPr>
          <w:p>
            <w:pPr>
              <w:spacing w:line="480" w:lineRule="auto"/>
              <w:jc w:val="center"/>
              <w:rPr>
                <w:rFonts w:ascii="宋体" w:hAnsi="宋体"/>
                <w:b/>
                <w:bCs/>
                <w:sz w:val="24"/>
                <w:szCs w:val="24"/>
              </w:rPr>
            </w:pPr>
            <w:r>
              <w:rPr>
                <w:rFonts w:hint="eastAsia" w:ascii="宋体" w:hAnsi="宋体"/>
                <w:b/>
                <w:bCs/>
                <w:sz w:val="24"/>
                <w:szCs w:val="24"/>
              </w:rPr>
              <w:t>二、</w:t>
            </w:r>
            <w:r>
              <w:rPr>
                <w:rFonts w:ascii="宋体" w:hAnsi="宋体"/>
                <w:b/>
                <w:bCs/>
                <w:sz w:val="24"/>
                <w:szCs w:val="24"/>
              </w:rPr>
              <w:t>履行合同能力</w:t>
            </w:r>
          </w:p>
        </w:tc>
        <w:tc>
          <w:tcPr>
            <w:tcW w:w="1671" w:type="dxa"/>
            <w:vMerge w:val="restart"/>
            <w:vAlign w:val="center"/>
          </w:tcPr>
          <w:p>
            <w:pPr>
              <w:spacing w:line="240" w:lineRule="atLeast"/>
              <w:jc w:val="center"/>
              <w:rPr>
                <w:rFonts w:ascii="宋体" w:hAnsi="宋体"/>
                <w:szCs w:val="21"/>
              </w:rPr>
            </w:pPr>
            <w:r>
              <w:rPr>
                <w:rFonts w:ascii="宋体" w:hAnsi="宋体"/>
                <w:szCs w:val="21"/>
              </w:rPr>
              <w:t>人员</w:t>
            </w:r>
          </w:p>
          <w:p>
            <w:pPr>
              <w:spacing w:line="240" w:lineRule="atLeast"/>
              <w:jc w:val="center"/>
              <w:rPr>
                <w:rFonts w:ascii="宋体" w:hAnsi="宋体"/>
                <w:szCs w:val="21"/>
              </w:rPr>
            </w:pPr>
            <w:r>
              <w:rPr>
                <w:rFonts w:hint="eastAsia" w:ascii="宋体" w:hAnsi="宋体"/>
                <w:sz w:val="11"/>
                <w:szCs w:val="21"/>
              </w:rPr>
              <w:t>（1.各类人员，每个企业均必须配备；2.所有人员应提供近三个月连续在深圳缴纳社保的证明；3.园林专业指与园林绿化工程规划、设计、施工及养护管理相关的专业，包括园林（含园林规划设计、园林植物、风景园林、园林绿化等）、园艺、城市规划、景观、植物（含植保、森保等）、风景旅游、环境艺术等专业。4.人员同时有两证时，仅按1人认定。）</w:t>
            </w:r>
          </w:p>
        </w:tc>
        <w:tc>
          <w:tcPr>
            <w:tcW w:w="457" w:type="dxa"/>
            <w:vMerge w:val="restart"/>
            <w:vAlign w:val="center"/>
          </w:tcPr>
          <w:p>
            <w:pPr>
              <w:spacing w:line="360" w:lineRule="auto"/>
              <w:jc w:val="center"/>
              <w:rPr>
                <w:rFonts w:ascii="宋体" w:hAnsi="宋体"/>
                <w:szCs w:val="21"/>
              </w:rPr>
            </w:pPr>
            <w:r>
              <w:rPr>
                <w:rFonts w:hint="eastAsia" w:ascii="宋体" w:hAnsi="宋体"/>
                <w:szCs w:val="21"/>
              </w:rPr>
              <w:t>27</w:t>
            </w:r>
          </w:p>
        </w:tc>
        <w:tc>
          <w:tcPr>
            <w:tcW w:w="5469" w:type="dxa"/>
            <w:vAlign w:val="center"/>
          </w:tcPr>
          <w:p>
            <w:pPr>
              <w:pStyle w:val="9"/>
              <w:numPr>
                <w:ilvl w:val="0"/>
                <w:numId w:val="4"/>
              </w:numPr>
              <w:ind w:firstLineChars="0"/>
              <w:jc w:val="left"/>
              <w:rPr>
                <w:rFonts w:ascii="宋体" w:hAnsi="宋体"/>
                <w:sz w:val="18"/>
                <w:szCs w:val="21"/>
              </w:rPr>
            </w:pPr>
            <w:r>
              <w:rPr>
                <w:rFonts w:hint="eastAsia" w:ascii="宋体" w:hAnsi="宋体"/>
                <w:sz w:val="18"/>
                <w:szCs w:val="21"/>
              </w:rPr>
              <w:t>园林专业高级或市政一级注册建造师，每人得2分，满分6分</w:t>
            </w:r>
          </w:p>
        </w:tc>
        <w:tc>
          <w:tcPr>
            <w:tcW w:w="457" w:type="dxa"/>
            <w:vAlign w:val="center"/>
          </w:tcPr>
          <w:p>
            <w:pPr>
              <w:jc w:val="center"/>
              <w:rPr>
                <w:rFonts w:ascii="宋体" w:hAnsi="宋体"/>
                <w:szCs w:val="21"/>
              </w:rPr>
            </w:pPr>
          </w:p>
        </w:tc>
        <w:tc>
          <w:tcPr>
            <w:tcW w:w="531" w:type="dxa"/>
            <w:vMerge w:val="restar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ascii="宋体" w:hAnsi="宋体" w:cs="宋体"/>
                <w:kern w:val="0"/>
                <w:sz w:val="18"/>
                <w:szCs w:val="21"/>
              </w:rPr>
              <w:t>园林专业</w:t>
            </w:r>
            <w:r>
              <w:rPr>
                <w:rFonts w:hint="eastAsia" w:ascii="宋体" w:hAnsi="宋体"/>
                <w:sz w:val="18"/>
                <w:szCs w:val="21"/>
              </w:rPr>
              <w:t>工程师，每人得1分，满分8分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ascii="宋体" w:hAnsi="宋体"/>
                <w:sz w:val="18"/>
                <w:szCs w:val="21"/>
              </w:rPr>
              <w:t>市政二级注册建造师，每人得0.5分，满分2分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ascii="宋体" w:hAnsi="宋体" w:cs="宋体"/>
                <w:kern w:val="0"/>
                <w:sz w:val="18"/>
                <w:szCs w:val="21"/>
              </w:rPr>
              <w:t>建筑专业工程师及以上，</w:t>
            </w:r>
            <w:r>
              <w:rPr>
                <w:rFonts w:hint="eastAsia" w:ascii="宋体" w:hAnsi="宋体"/>
                <w:sz w:val="18"/>
                <w:szCs w:val="21"/>
              </w:rPr>
              <w:t>每人得1分，满分1分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ascii="宋体" w:hAnsi="宋体" w:cs="宋体"/>
                <w:kern w:val="0"/>
                <w:sz w:val="18"/>
                <w:szCs w:val="21"/>
              </w:rPr>
              <w:t>给排水专业工程师及以上，</w:t>
            </w:r>
            <w:r>
              <w:rPr>
                <w:rFonts w:hint="eastAsia" w:ascii="宋体" w:hAnsi="宋体"/>
                <w:sz w:val="18"/>
                <w:szCs w:val="21"/>
              </w:rPr>
              <w:t>每人得1分，满分1分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ascii="宋体" w:hAnsi="宋体" w:cs="宋体"/>
                <w:kern w:val="0"/>
                <w:sz w:val="18"/>
                <w:szCs w:val="21"/>
              </w:rPr>
              <w:t>电气专业工程师及以上，</w:t>
            </w:r>
            <w:r>
              <w:rPr>
                <w:rFonts w:hint="eastAsia" w:ascii="宋体" w:hAnsi="宋体"/>
                <w:sz w:val="18"/>
                <w:szCs w:val="21"/>
              </w:rPr>
              <w:t>每人得1分，满分1分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ascii="宋体" w:hAnsi="宋体" w:cs="宋体"/>
                <w:kern w:val="0"/>
                <w:sz w:val="18"/>
                <w:szCs w:val="21"/>
              </w:rPr>
              <w:t>其他初级及以上职称人员，</w:t>
            </w:r>
            <w:r>
              <w:rPr>
                <w:rFonts w:hint="eastAsia" w:ascii="宋体" w:hAnsi="宋体"/>
                <w:sz w:val="18"/>
                <w:szCs w:val="21"/>
              </w:rPr>
              <w:t>每人得0.2分，满分1分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ascii="宋体" w:hAnsi="宋体" w:cs="宋体"/>
                <w:kern w:val="0"/>
                <w:sz w:val="18"/>
                <w:szCs w:val="21"/>
              </w:rPr>
              <w:t>高级绿化（花卉、植保）工，</w:t>
            </w:r>
            <w:r>
              <w:rPr>
                <w:rFonts w:hint="eastAsia" w:ascii="宋体" w:hAnsi="宋体"/>
                <w:sz w:val="18"/>
                <w:szCs w:val="21"/>
              </w:rPr>
              <w:t>每人得0.5分，满分2.5分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ascii="宋体" w:hAnsi="宋体" w:cs="宋体"/>
                <w:kern w:val="0"/>
                <w:sz w:val="18"/>
                <w:szCs w:val="21"/>
              </w:rPr>
              <w:t>中级绿化（花卉、植保）工，</w:t>
            </w:r>
            <w:r>
              <w:rPr>
                <w:rFonts w:hint="eastAsia" w:ascii="宋体" w:hAnsi="宋体"/>
                <w:sz w:val="18"/>
                <w:szCs w:val="21"/>
              </w:rPr>
              <w:t>每人得0.3分，满分3分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ascii="宋体" w:hAnsi="宋体" w:cs="宋体"/>
                <w:kern w:val="0"/>
                <w:sz w:val="18"/>
                <w:szCs w:val="21"/>
              </w:rPr>
              <w:t>瓦工（泥工）中级及以上，</w:t>
            </w:r>
            <w:r>
              <w:rPr>
                <w:rFonts w:hint="eastAsia" w:ascii="宋体" w:hAnsi="宋体"/>
                <w:sz w:val="18"/>
                <w:szCs w:val="21"/>
              </w:rPr>
              <w:t>每人得0.1分，满分0.5分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cs="宋体"/>
                <w:kern w:val="0"/>
                <w:sz w:val="18"/>
              </w:rPr>
              <w:t>木工中级及以上，</w:t>
            </w:r>
            <w:r>
              <w:rPr>
                <w:rFonts w:hint="eastAsia" w:ascii="宋体" w:hAnsi="宋体"/>
                <w:sz w:val="18"/>
                <w:szCs w:val="21"/>
              </w:rPr>
              <w:t>每人得0.1分，满分0.5分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4"/>
              </w:numPr>
              <w:ind w:firstLineChars="0"/>
              <w:jc w:val="left"/>
              <w:rPr>
                <w:rFonts w:ascii="宋体" w:hAnsi="宋体"/>
                <w:sz w:val="18"/>
                <w:szCs w:val="21"/>
              </w:rPr>
            </w:pPr>
            <w:r>
              <w:rPr>
                <w:rFonts w:hint="eastAsia" w:cs="宋体"/>
                <w:kern w:val="0"/>
                <w:sz w:val="18"/>
              </w:rPr>
              <w:t>电工中级及以上，</w:t>
            </w:r>
            <w:r>
              <w:rPr>
                <w:rFonts w:hint="eastAsia" w:ascii="宋体" w:hAnsi="宋体"/>
                <w:sz w:val="18"/>
                <w:szCs w:val="21"/>
              </w:rPr>
              <w:t>每人得0.1分，满分0.5分</w:t>
            </w:r>
          </w:p>
        </w:tc>
        <w:tc>
          <w:tcPr>
            <w:tcW w:w="457" w:type="dxa"/>
            <w:vAlign w:val="center"/>
          </w:tcPr>
          <w:p>
            <w:pPr>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jc w:val="center"/>
        </w:trPr>
        <w:tc>
          <w:tcPr>
            <w:tcW w:w="701" w:type="dxa"/>
            <w:vMerge w:val="continue"/>
            <w:vAlign w:val="center"/>
          </w:tcPr>
          <w:p>
            <w:pPr>
              <w:jc w:val="center"/>
              <w:rPr>
                <w:rFonts w:ascii="宋体" w:hAnsi="宋体"/>
                <w:b/>
                <w:bCs/>
                <w:sz w:val="24"/>
                <w:szCs w:val="24"/>
              </w:rPr>
            </w:pPr>
          </w:p>
        </w:tc>
        <w:tc>
          <w:tcPr>
            <w:tcW w:w="1671" w:type="dxa"/>
            <w:vMerge w:val="restart"/>
            <w:vAlign w:val="center"/>
          </w:tcPr>
          <w:p>
            <w:pPr>
              <w:spacing w:line="360" w:lineRule="auto"/>
              <w:jc w:val="center"/>
              <w:rPr>
                <w:rFonts w:ascii="宋体" w:hAnsi="宋体"/>
                <w:szCs w:val="21"/>
              </w:rPr>
            </w:pPr>
            <w:r>
              <w:rPr>
                <w:rFonts w:hint="eastAsia" w:ascii="宋体" w:hAnsi="宋体"/>
                <w:szCs w:val="21"/>
              </w:rPr>
              <w:t>企业基本信息</w:t>
            </w:r>
          </w:p>
        </w:tc>
        <w:tc>
          <w:tcPr>
            <w:tcW w:w="457" w:type="dxa"/>
            <w:vMerge w:val="restart"/>
            <w:vAlign w:val="center"/>
          </w:tcPr>
          <w:p>
            <w:pPr>
              <w:spacing w:line="360" w:lineRule="auto"/>
              <w:jc w:val="center"/>
              <w:rPr>
                <w:rFonts w:ascii="宋体" w:hAnsi="宋体"/>
                <w:szCs w:val="21"/>
              </w:rPr>
            </w:pPr>
            <w:r>
              <w:rPr>
                <w:rFonts w:hint="eastAsia" w:ascii="宋体" w:hAnsi="宋体"/>
                <w:szCs w:val="21"/>
              </w:rPr>
              <w:t>8</w:t>
            </w:r>
          </w:p>
        </w:tc>
        <w:tc>
          <w:tcPr>
            <w:tcW w:w="5469" w:type="dxa"/>
            <w:vAlign w:val="center"/>
          </w:tcPr>
          <w:p>
            <w:pPr>
              <w:pStyle w:val="9"/>
              <w:numPr>
                <w:ilvl w:val="0"/>
                <w:numId w:val="5"/>
              </w:numPr>
              <w:ind w:left="113" w:hanging="113" w:firstLineChars="0"/>
              <w:jc w:val="left"/>
              <w:rPr>
                <w:sz w:val="18"/>
              </w:rPr>
            </w:pPr>
            <w:r>
              <w:rPr>
                <w:rFonts w:hint="eastAsia"/>
                <w:sz w:val="18"/>
              </w:rPr>
              <w:t>营业执照：经营范围应含有园林绿化施工、养护和经营能力，营业执照处于有效期内，得1分。（企业提供营业执照副本原件核验）满分1分。</w:t>
            </w:r>
          </w:p>
        </w:tc>
        <w:tc>
          <w:tcPr>
            <w:tcW w:w="457" w:type="dxa"/>
            <w:vAlign w:val="center"/>
          </w:tcPr>
          <w:p>
            <w:pPr>
              <w:spacing w:line="360" w:lineRule="auto"/>
              <w:jc w:val="center"/>
              <w:rPr>
                <w:rFonts w:ascii="宋体" w:hAnsi="宋体"/>
                <w:szCs w:val="21"/>
              </w:rPr>
            </w:pPr>
          </w:p>
        </w:tc>
        <w:tc>
          <w:tcPr>
            <w:tcW w:w="531" w:type="dxa"/>
            <w:vMerge w:val="restar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5"/>
              </w:numPr>
              <w:ind w:left="148" w:hanging="148" w:firstLineChars="0"/>
              <w:jc w:val="left"/>
              <w:rPr>
                <w:sz w:val="18"/>
              </w:rPr>
            </w:pPr>
            <w:r>
              <w:rPr>
                <w:rFonts w:hint="eastAsia"/>
                <w:sz w:val="18"/>
              </w:rPr>
              <w:t>经营年限： 1年以下不得分；1（含）-5年得0.5分；5（含）-10年得1分；10（含）-15年得1.5分；15年及以上得2分。（企业提供工商管理局的档案查询资料原件或原有的城市园林资质证书做为证明资料）满分2分。</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5"/>
              </w:numPr>
              <w:ind w:left="148" w:hanging="148" w:firstLineChars="0"/>
              <w:jc w:val="left"/>
              <w:rPr>
                <w:sz w:val="18"/>
              </w:rPr>
            </w:pPr>
            <w:r>
              <w:rPr>
                <w:rFonts w:hint="eastAsia"/>
                <w:sz w:val="18"/>
              </w:rPr>
              <w:t>注册资本：实缴注册资本200万以下，得0.1分；每增加200万元，加0.1分，以此类推。（企业提供验资报告或财务审计报告原件核验）满分1分。</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5"/>
              </w:numPr>
              <w:ind w:left="148" w:hanging="148" w:firstLineChars="0"/>
              <w:jc w:val="left"/>
              <w:rPr>
                <w:sz w:val="18"/>
              </w:rPr>
            </w:pPr>
            <w:r>
              <w:rPr>
                <w:sz w:val="18"/>
              </w:rPr>
              <w:t>在深</w:t>
            </w:r>
            <w:r>
              <w:rPr>
                <w:rFonts w:hint="eastAsia"/>
                <w:sz w:val="18"/>
              </w:rPr>
              <w:t>圳有</w:t>
            </w:r>
            <w:r>
              <w:rPr>
                <w:sz w:val="18"/>
              </w:rPr>
              <w:t>固定办公场所</w:t>
            </w:r>
            <w:r>
              <w:rPr>
                <w:rFonts w:hint="eastAsia"/>
                <w:sz w:val="18"/>
              </w:rPr>
              <w:t>：自有产权的：办公场所100m</w:t>
            </w:r>
            <w:r>
              <w:rPr>
                <w:rFonts w:hint="eastAsia"/>
                <w:sz w:val="18"/>
                <w:vertAlign w:val="superscript"/>
              </w:rPr>
              <w:t>2</w:t>
            </w:r>
            <w:r>
              <w:rPr>
                <w:rFonts w:hint="eastAsia"/>
                <w:sz w:val="18"/>
              </w:rPr>
              <w:t>以下，不得分，100m</w:t>
            </w:r>
            <w:r>
              <w:rPr>
                <w:rFonts w:hint="eastAsia"/>
                <w:sz w:val="18"/>
                <w:vertAlign w:val="superscript"/>
              </w:rPr>
              <w:t>2</w:t>
            </w:r>
            <w:r>
              <w:rPr>
                <w:rFonts w:hint="eastAsia"/>
                <w:sz w:val="18"/>
              </w:rPr>
              <w:t>（含）-200m</w:t>
            </w:r>
            <w:r>
              <w:rPr>
                <w:rFonts w:hint="eastAsia"/>
                <w:sz w:val="18"/>
                <w:vertAlign w:val="superscript"/>
              </w:rPr>
              <w:t>2</w:t>
            </w:r>
            <w:r>
              <w:rPr>
                <w:rFonts w:hint="eastAsia"/>
                <w:sz w:val="18"/>
              </w:rPr>
              <w:t>得0.5分，200m</w:t>
            </w:r>
            <w:r>
              <w:rPr>
                <w:rFonts w:hint="eastAsia"/>
                <w:sz w:val="18"/>
                <w:vertAlign w:val="superscript"/>
              </w:rPr>
              <w:t>2</w:t>
            </w:r>
            <w:r>
              <w:rPr>
                <w:rFonts w:hint="eastAsia"/>
                <w:sz w:val="18"/>
              </w:rPr>
              <w:t>（含）-300m</w:t>
            </w:r>
            <w:r>
              <w:rPr>
                <w:rFonts w:hint="eastAsia"/>
                <w:sz w:val="18"/>
                <w:vertAlign w:val="superscript"/>
              </w:rPr>
              <w:t>2</w:t>
            </w:r>
            <w:r>
              <w:rPr>
                <w:rFonts w:hint="eastAsia"/>
                <w:sz w:val="18"/>
              </w:rPr>
              <w:t>得1分，300m</w:t>
            </w:r>
            <w:r>
              <w:rPr>
                <w:rFonts w:hint="eastAsia"/>
                <w:sz w:val="18"/>
                <w:vertAlign w:val="superscript"/>
              </w:rPr>
              <w:t>2</w:t>
            </w:r>
            <w:r>
              <w:rPr>
                <w:rFonts w:hint="eastAsia"/>
                <w:sz w:val="18"/>
              </w:rPr>
              <w:t>（含）-400m</w:t>
            </w:r>
            <w:r>
              <w:rPr>
                <w:rFonts w:hint="eastAsia"/>
                <w:sz w:val="18"/>
                <w:vertAlign w:val="superscript"/>
              </w:rPr>
              <w:t>2</w:t>
            </w:r>
            <w:r>
              <w:rPr>
                <w:rFonts w:hint="eastAsia"/>
                <w:sz w:val="18"/>
              </w:rPr>
              <w:t>以上得1.5分,400m</w:t>
            </w:r>
            <w:r>
              <w:rPr>
                <w:rFonts w:hint="eastAsia"/>
                <w:sz w:val="18"/>
                <w:vertAlign w:val="superscript"/>
              </w:rPr>
              <w:t>2</w:t>
            </w:r>
            <w:r>
              <w:rPr>
                <w:rFonts w:hint="eastAsia"/>
                <w:sz w:val="18"/>
              </w:rPr>
              <w:t>及以上得2分；租赁的，分值减半。（自有产权的，提供产权证原件核验;租赁的提供租赁合同原件和至少一年的租金正式发票原件核验）满分2分。</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5"/>
              </w:numPr>
              <w:ind w:left="148" w:hanging="148" w:firstLineChars="0"/>
              <w:jc w:val="left"/>
              <w:rPr>
                <w:sz w:val="18"/>
              </w:rPr>
            </w:pPr>
            <w:r>
              <w:rPr>
                <w:sz w:val="18"/>
              </w:rPr>
              <w:t>苗木基地</w:t>
            </w:r>
            <w:r>
              <w:rPr>
                <w:rFonts w:hint="eastAsia"/>
                <w:sz w:val="18"/>
              </w:rPr>
              <w:t>：无苗圃或未填报苗圃，得0分；自有苗圃100亩以下得0.3分；100（含）-300亩得0.5分，300（含）-500亩得0.5分，500亩及以上得1分。土地租赁合同应有出租方上级部门的鉴证或确认，提供原件核验，全资子公司的自有苗圃也可合并计算面积）满分1分。</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pStyle w:val="9"/>
              <w:numPr>
                <w:ilvl w:val="0"/>
                <w:numId w:val="5"/>
              </w:numPr>
              <w:ind w:left="148" w:hanging="148" w:firstLineChars="0"/>
              <w:jc w:val="left"/>
              <w:rPr>
                <w:sz w:val="18"/>
              </w:rPr>
            </w:pPr>
            <w:r>
              <w:rPr>
                <w:sz w:val="18"/>
              </w:rPr>
              <w:t>管理体系认证</w:t>
            </w:r>
            <w:r>
              <w:rPr>
                <w:rFonts w:hint="eastAsia"/>
                <w:sz w:val="18"/>
              </w:rPr>
              <w:t>：企业通过质量管理体系认证得0.5；通过环境管理体系认证得0.25分；通过职业健康安全管理体系认证得0.25分。（管理体系认证证书应在有效期内。企业提供原件核验）满分1分。</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bl>
    <w:p>
      <w:pPr>
        <w:rPr>
          <w:rFonts w:ascii="宋体" w:hAnsi="宋体"/>
          <w:sz w:val="24"/>
          <w:szCs w:val="24"/>
        </w:rPr>
      </w:pPr>
    </w:p>
    <w:tbl>
      <w:tblPr>
        <w:tblStyle w:val="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71"/>
        <w:gridCol w:w="457"/>
        <w:gridCol w:w="5469"/>
        <w:gridCol w:w="45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701" w:type="dxa"/>
            <w:vAlign w:val="center"/>
          </w:tcPr>
          <w:p>
            <w:pPr>
              <w:jc w:val="center"/>
              <w:rPr>
                <w:rFonts w:ascii="宋体" w:hAnsi="宋体"/>
                <w:b/>
                <w:bCs/>
                <w:sz w:val="24"/>
                <w:szCs w:val="24"/>
              </w:rPr>
            </w:pPr>
            <w:r>
              <w:rPr>
                <w:rFonts w:ascii="宋体" w:hAnsi="宋体"/>
                <w:sz w:val="24"/>
                <w:szCs w:val="24"/>
              </w:rPr>
              <w:br w:type="page"/>
            </w:r>
            <w:r>
              <w:rPr>
                <w:rFonts w:hint="eastAsia" w:ascii="宋体" w:hAnsi="宋体"/>
                <w:b/>
                <w:bCs/>
                <w:sz w:val="24"/>
                <w:szCs w:val="24"/>
              </w:rPr>
              <w:t>项目</w:t>
            </w:r>
          </w:p>
        </w:tc>
        <w:tc>
          <w:tcPr>
            <w:tcW w:w="1671" w:type="dxa"/>
            <w:vAlign w:val="center"/>
          </w:tcPr>
          <w:p>
            <w:pPr>
              <w:spacing w:line="360" w:lineRule="auto"/>
              <w:jc w:val="center"/>
              <w:rPr>
                <w:rFonts w:ascii="宋体" w:hAnsi="宋体"/>
                <w:b/>
                <w:bCs/>
                <w:sz w:val="24"/>
                <w:szCs w:val="24"/>
              </w:rPr>
            </w:pPr>
            <w:r>
              <w:rPr>
                <w:rFonts w:hint="eastAsia" w:ascii="宋体" w:hAnsi="宋体"/>
                <w:b/>
                <w:bCs/>
                <w:sz w:val="24"/>
                <w:szCs w:val="24"/>
              </w:rPr>
              <w:t>评 价 内 容</w:t>
            </w:r>
          </w:p>
        </w:tc>
        <w:tc>
          <w:tcPr>
            <w:tcW w:w="457" w:type="dxa"/>
            <w:vAlign w:val="center"/>
          </w:tcPr>
          <w:p>
            <w:pPr>
              <w:spacing w:line="360" w:lineRule="auto"/>
              <w:jc w:val="center"/>
              <w:rPr>
                <w:rFonts w:ascii="宋体" w:hAnsi="宋体"/>
                <w:b/>
                <w:bCs/>
                <w:sz w:val="24"/>
                <w:szCs w:val="24"/>
              </w:rPr>
            </w:pPr>
            <w:r>
              <w:rPr>
                <w:rFonts w:hint="eastAsia" w:ascii="宋体" w:hAnsi="宋体"/>
                <w:b/>
                <w:bCs/>
                <w:sz w:val="24"/>
                <w:szCs w:val="24"/>
              </w:rPr>
              <w:t>满分分值</w:t>
            </w:r>
          </w:p>
        </w:tc>
        <w:tc>
          <w:tcPr>
            <w:tcW w:w="5469" w:type="dxa"/>
            <w:vAlign w:val="center"/>
          </w:tcPr>
          <w:p>
            <w:pPr>
              <w:spacing w:line="360" w:lineRule="auto"/>
              <w:jc w:val="center"/>
              <w:rPr>
                <w:rFonts w:ascii="宋体" w:hAnsi="宋体"/>
                <w:b/>
                <w:bCs/>
                <w:sz w:val="24"/>
                <w:szCs w:val="24"/>
              </w:rPr>
            </w:pPr>
            <w:r>
              <w:rPr>
                <w:rFonts w:hint="eastAsia" w:ascii="宋体" w:hAnsi="宋体"/>
                <w:b/>
                <w:bCs/>
                <w:sz w:val="24"/>
                <w:szCs w:val="24"/>
              </w:rPr>
              <w:t>评  价  标  准</w:t>
            </w:r>
          </w:p>
        </w:tc>
        <w:tc>
          <w:tcPr>
            <w:tcW w:w="457" w:type="dxa"/>
            <w:vAlign w:val="center"/>
          </w:tcPr>
          <w:p>
            <w:pPr>
              <w:spacing w:line="360" w:lineRule="auto"/>
              <w:jc w:val="center"/>
              <w:rPr>
                <w:rFonts w:ascii="宋体" w:hAnsi="宋体"/>
                <w:b/>
                <w:bCs/>
                <w:sz w:val="24"/>
                <w:szCs w:val="24"/>
              </w:rPr>
            </w:pPr>
            <w:r>
              <w:rPr>
                <w:rFonts w:hint="eastAsia" w:ascii="宋体" w:hAnsi="宋体"/>
                <w:b/>
                <w:bCs/>
                <w:sz w:val="24"/>
                <w:szCs w:val="24"/>
              </w:rPr>
              <w:t>得分</w:t>
            </w:r>
          </w:p>
        </w:tc>
        <w:tc>
          <w:tcPr>
            <w:tcW w:w="531" w:type="dxa"/>
            <w:vAlign w:val="center"/>
          </w:tcPr>
          <w:p>
            <w:pPr>
              <w:spacing w:line="360" w:lineRule="auto"/>
              <w:jc w:val="center"/>
              <w:rPr>
                <w:rFonts w:ascii="宋体" w:hAnsi="宋体"/>
                <w:b/>
                <w:bCs/>
                <w:sz w:val="24"/>
                <w:szCs w:val="24"/>
              </w:rPr>
            </w:pPr>
            <w:r>
              <w:rPr>
                <w:rFonts w:hint="eastAsia" w:ascii="宋体" w:hAnsi="宋体"/>
                <w:b/>
                <w:bCs/>
                <w:sz w:val="24"/>
                <w:szCs w:val="24"/>
              </w:rPr>
              <w:t>单项得分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0" w:hRule="atLeast"/>
          <w:jc w:val="center"/>
        </w:trPr>
        <w:tc>
          <w:tcPr>
            <w:tcW w:w="701" w:type="dxa"/>
            <w:vMerge w:val="restart"/>
            <w:vAlign w:val="center"/>
          </w:tcPr>
          <w:p>
            <w:pPr>
              <w:spacing w:line="480" w:lineRule="auto"/>
              <w:jc w:val="center"/>
              <w:rPr>
                <w:rFonts w:ascii="宋体" w:hAnsi="宋体"/>
                <w:b/>
                <w:bCs/>
                <w:sz w:val="24"/>
                <w:szCs w:val="24"/>
              </w:rPr>
            </w:pPr>
            <w:r>
              <w:rPr>
                <w:rFonts w:hint="eastAsia" w:ascii="宋体" w:hAnsi="宋体"/>
                <w:b/>
                <w:bCs/>
                <w:sz w:val="24"/>
                <w:szCs w:val="24"/>
              </w:rPr>
              <w:t>三、企业经济发展情况</w:t>
            </w:r>
          </w:p>
        </w:tc>
        <w:tc>
          <w:tcPr>
            <w:tcW w:w="1671" w:type="dxa"/>
            <w:vMerge w:val="restart"/>
            <w:vAlign w:val="center"/>
          </w:tcPr>
          <w:p>
            <w:pPr>
              <w:spacing w:line="240" w:lineRule="atLeast"/>
              <w:jc w:val="center"/>
              <w:rPr>
                <w:rFonts w:ascii="宋体" w:hAnsi="宋体"/>
                <w:szCs w:val="21"/>
              </w:rPr>
            </w:pPr>
            <w:r>
              <w:rPr>
                <w:rFonts w:hint="eastAsia" w:ascii="宋体" w:hAnsi="宋体"/>
                <w:szCs w:val="21"/>
              </w:rPr>
              <w:t>企业纳税情况：</w:t>
            </w:r>
          </w:p>
          <w:p>
            <w:pPr>
              <w:spacing w:line="240" w:lineRule="atLeast"/>
              <w:jc w:val="center"/>
              <w:rPr>
                <w:rFonts w:ascii="宋体" w:hAnsi="宋体"/>
                <w:szCs w:val="21"/>
              </w:rPr>
            </w:pPr>
            <w:r>
              <w:rPr>
                <w:rFonts w:hint="eastAsia" w:ascii="宋体" w:hAnsi="宋体"/>
                <w:sz w:val="15"/>
                <w:szCs w:val="21"/>
              </w:rPr>
              <w:t>园林绿化企业在深圳市行政区内缴交的上一个年度（1月1日至12月31日）的累积增值税及所得税纳税额（所得税含企业所得税、个人所得税）。信用管理机构向税务部门征集的企业纳税额低于企业自己申报额的，则以税务部门提供的数据为准。）</w:t>
            </w:r>
          </w:p>
        </w:tc>
        <w:tc>
          <w:tcPr>
            <w:tcW w:w="457" w:type="dxa"/>
            <w:vMerge w:val="restart"/>
            <w:vAlign w:val="center"/>
          </w:tcPr>
          <w:p>
            <w:pPr>
              <w:spacing w:line="360" w:lineRule="auto"/>
              <w:jc w:val="center"/>
              <w:rPr>
                <w:rFonts w:ascii="宋体" w:hAnsi="宋体"/>
                <w:szCs w:val="21"/>
              </w:rPr>
            </w:pPr>
            <w:r>
              <w:rPr>
                <w:rFonts w:hint="eastAsia" w:ascii="宋体" w:hAnsi="宋体"/>
                <w:szCs w:val="21"/>
              </w:rPr>
              <w:t>10</w:t>
            </w:r>
          </w:p>
        </w:tc>
        <w:tc>
          <w:tcPr>
            <w:tcW w:w="5469" w:type="dxa"/>
            <w:vAlign w:val="center"/>
          </w:tcPr>
          <w:p>
            <w:pPr>
              <w:spacing w:line="360" w:lineRule="auto"/>
              <w:ind w:left="420" w:hanging="420" w:hangingChars="200"/>
              <w:jc w:val="left"/>
              <w:rPr>
                <w:rFonts w:ascii="宋体" w:hAnsi="宋体"/>
                <w:szCs w:val="21"/>
              </w:rPr>
            </w:pPr>
            <w:r>
              <w:rPr>
                <w:rFonts w:hint="eastAsia" w:ascii="宋体" w:hAnsi="宋体"/>
                <w:szCs w:val="21"/>
              </w:rPr>
              <w:t>1、增值税（满分分值5分），照章纳税得5分；</w:t>
            </w:r>
          </w:p>
        </w:tc>
        <w:tc>
          <w:tcPr>
            <w:tcW w:w="457" w:type="dxa"/>
            <w:vAlign w:val="center"/>
          </w:tcPr>
          <w:p>
            <w:pPr>
              <w:spacing w:line="360" w:lineRule="auto"/>
              <w:jc w:val="center"/>
              <w:rPr>
                <w:rFonts w:ascii="宋体" w:hAnsi="宋体"/>
                <w:szCs w:val="21"/>
              </w:rPr>
            </w:pPr>
          </w:p>
        </w:tc>
        <w:tc>
          <w:tcPr>
            <w:tcW w:w="531" w:type="dxa"/>
            <w:vMerge w:val="restart"/>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0"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Merge w:val="continue"/>
            <w:vAlign w:val="center"/>
          </w:tcPr>
          <w:p>
            <w:pPr>
              <w:spacing w:line="240" w:lineRule="atLeast"/>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spacing w:line="360" w:lineRule="auto"/>
              <w:ind w:left="290" w:hanging="289" w:hangingChars="138"/>
              <w:jc w:val="left"/>
              <w:rPr>
                <w:rFonts w:ascii="宋体" w:hAnsi="宋体"/>
                <w:szCs w:val="21"/>
              </w:rPr>
            </w:pPr>
            <w:r>
              <w:rPr>
                <w:rFonts w:hint="eastAsia" w:ascii="宋体" w:hAnsi="宋体"/>
                <w:szCs w:val="21"/>
              </w:rPr>
              <w:t>2、所得税（含企业所得税、个人所得税，满分分值5分），按上一年度累计纳税总额50-100万计1分；纳税总额101-200万计2分；纳税总额201-300万计3分，纳税总额301-400万计4分；纳税总额500万以上计5分。</w:t>
            </w:r>
          </w:p>
        </w:tc>
        <w:tc>
          <w:tcPr>
            <w:tcW w:w="457" w:type="dxa"/>
            <w:vAlign w:val="center"/>
          </w:tcPr>
          <w:p>
            <w:pPr>
              <w:spacing w:line="360" w:lineRule="auto"/>
              <w:jc w:val="center"/>
              <w:rPr>
                <w:rFonts w:ascii="宋体" w:hAnsi="宋体"/>
                <w:szCs w:val="21"/>
              </w:rPr>
            </w:pPr>
          </w:p>
        </w:tc>
        <w:tc>
          <w:tcPr>
            <w:tcW w:w="531" w:type="dxa"/>
            <w:vMerge w:val="continue"/>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2" w:hRule="atLeast"/>
          <w:jc w:val="center"/>
        </w:trPr>
        <w:tc>
          <w:tcPr>
            <w:tcW w:w="701" w:type="dxa"/>
            <w:vMerge w:val="continue"/>
            <w:vAlign w:val="center"/>
          </w:tcPr>
          <w:p>
            <w:pPr>
              <w:spacing w:line="480" w:lineRule="auto"/>
              <w:jc w:val="center"/>
              <w:rPr>
                <w:rFonts w:ascii="宋体" w:hAnsi="宋体"/>
                <w:b/>
                <w:bCs/>
                <w:sz w:val="24"/>
                <w:szCs w:val="24"/>
              </w:rPr>
            </w:pPr>
          </w:p>
        </w:tc>
        <w:tc>
          <w:tcPr>
            <w:tcW w:w="1671" w:type="dxa"/>
            <w:vAlign w:val="center"/>
          </w:tcPr>
          <w:p>
            <w:pPr>
              <w:spacing w:line="360" w:lineRule="auto"/>
              <w:jc w:val="center"/>
              <w:rPr>
                <w:rFonts w:ascii="宋体" w:hAnsi="宋体"/>
                <w:szCs w:val="21"/>
              </w:rPr>
            </w:pPr>
            <w:r>
              <w:rPr>
                <w:rFonts w:hint="eastAsia" w:ascii="宋体" w:hAnsi="宋体"/>
                <w:szCs w:val="21"/>
              </w:rPr>
              <w:t>企业收入情况：</w:t>
            </w:r>
          </w:p>
          <w:p>
            <w:pPr>
              <w:spacing w:line="240" w:lineRule="atLeast"/>
              <w:jc w:val="center"/>
              <w:rPr>
                <w:rFonts w:ascii="宋体" w:hAnsi="宋体"/>
                <w:szCs w:val="21"/>
              </w:rPr>
            </w:pPr>
            <w:r>
              <w:rPr>
                <w:rFonts w:hint="eastAsia" w:ascii="宋体" w:hAnsi="宋体"/>
                <w:sz w:val="15"/>
                <w:szCs w:val="21"/>
              </w:rPr>
              <w:t>企业在上一个年度（1月1日至12月31日）完成的园林绿化产值（本市企业的产值申报本市和非本市的园林绿化产值，非本市企业仅申报深圳市范围的园林绿化产值）。</w:t>
            </w:r>
          </w:p>
        </w:tc>
        <w:tc>
          <w:tcPr>
            <w:tcW w:w="457" w:type="dxa"/>
            <w:vAlign w:val="center"/>
          </w:tcPr>
          <w:p>
            <w:pPr>
              <w:spacing w:line="360" w:lineRule="auto"/>
              <w:jc w:val="center"/>
              <w:rPr>
                <w:rFonts w:ascii="宋体" w:hAnsi="宋体"/>
                <w:szCs w:val="21"/>
              </w:rPr>
            </w:pPr>
            <w:r>
              <w:rPr>
                <w:rFonts w:hint="eastAsia" w:ascii="宋体" w:hAnsi="宋体"/>
                <w:szCs w:val="21"/>
              </w:rPr>
              <w:t>15</w:t>
            </w:r>
          </w:p>
        </w:tc>
        <w:tc>
          <w:tcPr>
            <w:tcW w:w="5469" w:type="dxa"/>
            <w:vAlign w:val="center"/>
          </w:tcPr>
          <w:p>
            <w:pPr>
              <w:spacing w:line="360" w:lineRule="auto"/>
              <w:jc w:val="left"/>
              <w:rPr>
                <w:rFonts w:ascii="宋体" w:hAnsi="宋体"/>
                <w:szCs w:val="21"/>
              </w:rPr>
            </w:pPr>
            <w:r>
              <w:rPr>
                <w:rFonts w:hint="eastAsia" w:ascii="宋体" w:hAnsi="宋体"/>
                <w:szCs w:val="21"/>
              </w:rPr>
              <w:t>按上一年度园林绿化产值总额排名（由高到低）：</w:t>
            </w:r>
          </w:p>
          <w:p>
            <w:pPr>
              <w:pStyle w:val="9"/>
              <w:numPr>
                <w:ilvl w:val="0"/>
                <w:numId w:val="6"/>
              </w:numPr>
              <w:spacing w:line="360" w:lineRule="auto"/>
              <w:ind w:firstLineChars="0"/>
              <w:jc w:val="left"/>
              <w:rPr>
                <w:rFonts w:ascii="宋体" w:hAnsi="宋体"/>
                <w:szCs w:val="21"/>
              </w:rPr>
            </w:pPr>
            <w:r>
              <w:rPr>
                <w:rFonts w:hint="eastAsia" w:ascii="宋体" w:hAnsi="宋体"/>
                <w:szCs w:val="21"/>
              </w:rPr>
              <w:t>一年度园林绿化产值总额1个亿以上得15分；</w:t>
            </w:r>
          </w:p>
          <w:p>
            <w:pPr>
              <w:pStyle w:val="9"/>
              <w:numPr>
                <w:ilvl w:val="0"/>
                <w:numId w:val="6"/>
              </w:numPr>
              <w:spacing w:line="360" w:lineRule="auto"/>
              <w:ind w:firstLineChars="0"/>
              <w:jc w:val="left"/>
              <w:rPr>
                <w:rFonts w:ascii="宋体" w:hAnsi="宋体"/>
                <w:szCs w:val="21"/>
              </w:rPr>
            </w:pPr>
            <w:r>
              <w:rPr>
                <w:rFonts w:hint="eastAsia" w:ascii="宋体" w:hAnsi="宋体"/>
                <w:szCs w:val="21"/>
              </w:rPr>
              <w:t xml:space="preserve">一年度园林绿化产值总额5000万-1个亿以上得12分； </w:t>
            </w:r>
          </w:p>
          <w:p>
            <w:pPr>
              <w:pStyle w:val="9"/>
              <w:numPr>
                <w:ilvl w:val="0"/>
                <w:numId w:val="6"/>
              </w:numPr>
              <w:spacing w:line="360" w:lineRule="auto"/>
              <w:ind w:firstLineChars="0"/>
              <w:jc w:val="left"/>
              <w:rPr>
                <w:rFonts w:ascii="宋体" w:hAnsi="宋体"/>
                <w:szCs w:val="21"/>
              </w:rPr>
            </w:pPr>
            <w:r>
              <w:rPr>
                <w:rFonts w:hint="eastAsia" w:ascii="宋体" w:hAnsi="宋体"/>
                <w:szCs w:val="21"/>
              </w:rPr>
              <w:t>一年度园林绿化产值总额3000万-5000万以上得9分；</w:t>
            </w:r>
          </w:p>
          <w:p>
            <w:pPr>
              <w:pStyle w:val="9"/>
              <w:numPr>
                <w:ilvl w:val="0"/>
                <w:numId w:val="6"/>
              </w:numPr>
              <w:spacing w:line="360" w:lineRule="auto"/>
              <w:ind w:firstLineChars="0"/>
              <w:jc w:val="left"/>
              <w:rPr>
                <w:rFonts w:ascii="宋体" w:hAnsi="宋体"/>
                <w:szCs w:val="21"/>
              </w:rPr>
            </w:pPr>
            <w:r>
              <w:rPr>
                <w:rFonts w:hint="eastAsia" w:ascii="宋体" w:hAnsi="宋体"/>
                <w:szCs w:val="21"/>
              </w:rPr>
              <w:t>一年度园林绿化产值总额2000万-3000万以上得6分；</w:t>
            </w:r>
          </w:p>
          <w:p>
            <w:pPr>
              <w:pStyle w:val="9"/>
              <w:numPr>
                <w:ilvl w:val="0"/>
                <w:numId w:val="6"/>
              </w:numPr>
              <w:spacing w:line="360" w:lineRule="auto"/>
              <w:ind w:firstLineChars="0"/>
              <w:jc w:val="left"/>
              <w:rPr>
                <w:rFonts w:ascii="宋体" w:hAnsi="宋体"/>
                <w:szCs w:val="21"/>
              </w:rPr>
            </w:pPr>
            <w:r>
              <w:rPr>
                <w:rFonts w:hint="eastAsia" w:ascii="宋体" w:hAnsi="宋体"/>
                <w:szCs w:val="21"/>
              </w:rPr>
              <w:t>一年度园林绿化产值总额1000万-2000万以上得3分；</w:t>
            </w:r>
          </w:p>
          <w:p>
            <w:pPr>
              <w:pStyle w:val="9"/>
              <w:numPr>
                <w:ilvl w:val="0"/>
                <w:numId w:val="6"/>
              </w:numPr>
              <w:spacing w:line="360" w:lineRule="auto"/>
              <w:ind w:firstLineChars="0"/>
              <w:jc w:val="left"/>
              <w:rPr>
                <w:rFonts w:ascii="宋体" w:hAnsi="宋体"/>
                <w:szCs w:val="21"/>
              </w:rPr>
            </w:pPr>
            <w:r>
              <w:rPr>
                <w:rFonts w:hint="eastAsia" w:ascii="宋体" w:hAnsi="宋体"/>
                <w:szCs w:val="21"/>
              </w:rPr>
              <w:t>一年度园林绿化产值总额1000万以下得2分；</w:t>
            </w:r>
          </w:p>
          <w:p>
            <w:pPr>
              <w:pStyle w:val="9"/>
              <w:numPr>
                <w:ilvl w:val="0"/>
                <w:numId w:val="6"/>
              </w:numPr>
              <w:spacing w:line="360" w:lineRule="auto"/>
              <w:ind w:firstLineChars="0"/>
              <w:jc w:val="left"/>
              <w:rPr>
                <w:rFonts w:ascii="宋体" w:hAnsi="宋体"/>
                <w:szCs w:val="21"/>
              </w:rPr>
            </w:pPr>
            <w:r>
              <w:rPr>
                <w:rFonts w:hint="eastAsia" w:ascii="宋体" w:hAnsi="宋体"/>
                <w:szCs w:val="21"/>
              </w:rPr>
              <w:t>一年度园林绿化产值总额500万以下得1分。</w:t>
            </w:r>
          </w:p>
        </w:tc>
        <w:tc>
          <w:tcPr>
            <w:tcW w:w="457" w:type="dxa"/>
            <w:vAlign w:val="center"/>
          </w:tcPr>
          <w:p>
            <w:pPr>
              <w:spacing w:line="360" w:lineRule="auto"/>
              <w:jc w:val="center"/>
              <w:rPr>
                <w:szCs w:val="21"/>
              </w:rPr>
            </w:pPr>
          </w:p>
        </w:tc>
        <w:tc>
          <w:tcPr>
            <w:tcW w:w="531" w:type="dxa"/>
            <w:vAlign w:val="center"/>
          </w:tcPr>
          <w:p>
            <w:pPr>
              <w:spacing w:line="360" w:lineRule="auto"/>
              <w:jc w:val="center"/>
              <w:rPr>
                <w:rFonts w:ascii="宋体" w:hAnsi="宋体"/>
                <w:szCs w:val="21"/>
              </w:rPr>
            </w:pPr>
          </w:p>
        </w:tc>
      </w:tr>
    </w:tbl>
    <w:p>
      <w:pPr>
        <w:rPr>
          <w:rFonts w:ascii="宋体" w:hAnsi="宋体"/>
          <w:sz w:val="24"/>
          <w:szCs w:val="24"/>
        </w:rPr>
      </w:pPr>
    </w:p>
    <w:p>
      <w:pPr>
        <w:widowControl/>
        <w:jc w:val="left"/>
        <w:rPr>
          <w:rFonts w:ascii="宋体" w:hAnsi="宋体"/>
          <w:sz w:val="24"/>
          <w:szCs w:val="24"/>
        </w:rPr>
      </w:pPr>
      <w:r>
        <w:rPr>
          <w:rFonts w:ascii="宋体" w:hAnsi="宋体"/>
          <w:sz w:val="24"/>
          <w:szCs w:val="24"/>
        </w:rPr>
        <w:br w:type="page"/>
      </w:r>
    </w:p>
    <w:tbl>
      <w:tblPr>
        <w:tblStyle w:val="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71"/>
        <w:gridCol w:w="457"/>
        <w:gridCol w:w="5469"/>
        <w:gridCol w:w="457"/>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701" w:type="dxa"/>
            <w:vAlign w:val="center"/>
          </w:tcPr>
          <w:p>
            <w:pPr>
              <w:jc w:val="center"/>
              <w:rPr>
                <w:rFonts w:ascii="宋体" w:hAnsi="宋体"/>
                <w:b/>
                <w:bCs/>
                <w:sz w:val="24"/>
                <w:szCs w:val="24"/>
              </w:rPr>
            </w:pPr>
            <w:r>
              <w:rPr>
                <w:rFonts w:hint="eastAsia" w:ascii="宋体" w:hAnsi="宋体"/>
                <w:b/>
                <w:bCs/>
                <w:sz w:val="24"/>
                <w:szCs w:val="24"/>
              </w:rPr>
              <w:t>项目</w:t>
            </w:r>
          </w:p>
        </w:tc>
        <w:tc>
          <w:tcPr>
            <w:tcW w:w="1671" w:type="dxa"/>
            <w:vAlign w:val="center"/>
          </w:tcPr>
          <w:p>
            <w:pPr>
              <w:spacing w:line="360" w:lineRule="auto"/>
              <w:jc w:val="center"/>
              <w:rPr>
                <w:rFonts w:ascii="宋体" w:hAnsi="宋体"/>
                <w:b/>
                <w:bCs/>
                <w:sz w:val="24"/>
                <w:szCs w:val="24"/>
              </w:rPr>
            </w:pPr>
            <w:r>
              <w:rPr>
                <w:rFonts w:hint="eastAsia" w:ascii="宋体" w:hAnsi="宋体"/>
                <w:b/>
                <w:bCs/>
                <w:sz w:val="24"/>
                <w:szCs w:val="24"/>
              </w:rPr>
              <w:t>评 价 内 容</w:t>
            </w:r>
          </w:p>
        </w:tc>
        <w:tc>
          <w:tcPr>
            <w:tcW w:w="457" w:type="dxa"/>
            <w:vAlign w:val="center"/>
          </w:tcPr>
          <w:p>
            <w:pPr>
              <w:spacing w:line="360" w:lineRule="auto"/>
              <w:jc w:val="center"/>
              <w:rPr>
                <w:rFonts w:ascii="宋体" w:hAnsi="宋体"/>
                <w:b/>
                <w:bCs/>
                <w:sz w:val="24"/>
                <w:szCs w:val="24"/>
              </w:rPr>
            </w:pPr>
            <w:r>
              <w:rPr>
                <w:rFonts w:hint="eastAsia" w:ascii="宋体" w:hAnsi="宋体"/>
                <w:b/>
                <w:bCs/>
                <w:sz w:val="24"/>
                <w:szCs w:val="24"/>
              </w:rPr>
              <w:t>满分分值</w:t>
            </w:r>
          </w:p>
        </w:tc>
        <w:tc>
          <w:tcPr>
            <w:tcW w:w="5469" w:type="dxa"/>
            <w:vAlign w:val="center"/>
          </w:tcPr>
          <w:p>
            <w:pPr>
              <w:spacing w:line="360" w:lineRule="auto"/>
              <w:jc w:val="center"/>
              <w:rPr>
                <w:rFonts w:ascii="宋体" w:hAnsi="宋体"/>
                <w:b/>
                <w:bCs/>
                <w:sz w:val="24"/>
                <w:szCs w:val="24"/>
              </w:rPr>
            </w:pPr>
            <w:r>
              <w:rPr>
                <w:rFonts w:hint="eastAsia" w:ascii="宋体" w:hAnsi="宋体"/>
                <w:b/>
                <w:bCs/>
                <w:sz w:val="24"/>
                <w:szCs w:val="24"/>
              </w:rPr>
              <w:t>评  价  标  准</w:t>
            </w:r>
          </w:p>
        </w:tc>
        <w:tc>
          <w:tcPr>
            <w:tcW w:w="457" w:type="dxa"/>
            <w:vAlign w:val="center"/>
          </w:tcPr>
          <w:p>
            <w:pPr>
              <w:spacing w:line="360" w:lineRule="auto"/>
              <w:jc w:val="center"/>
              <w:rPr>
                <w:rFonts w:ascii="宋体" w:hAnsi="宋体"/>
                <w:b/>
                <w:bCs/>
                <w:sz w:val="24"/>
                <w:szCs w:val="24"/>
              </w:rPr>
            </w:pPr>
            <w:r>
              <w:rPr>
                <w:rFonts w:hint="eastAsia" w:ascii="宋体" w:hAnsi="宋体"/>
                <w:b/>
                <w:bCs/>
                <w:sz w:val="24"/>
                <w:szCs w:val="24"/>
              </w:rPr>
              <w:t>得分</w:t>
            </w:r>
          </w:p>
        </w:tc>
        <w:tc>
          <w:tcPr>
            <w:tcW w:w="531" w:type="dxa"/>
            <w:vAlign w:val="center"/>
          </w:tcPr>
          <w:p>
            <w:pPr>
              <w:spacing w:line="360" w:lineRule="auto"/>
              <w:jc w:val="center"/>
              <w:rPr>
                <w:rFonts w:ascii="宋体" w:hAnsi="宋体"/>
                <w:b/>
                <w:bCs/>
                <w:sz w:val="24"/>
                <w:szCs w:val="24"/>
              </w:rPr>
            </w:pPr>
            <w:r>
              <w:rPr>
                <w:rFonts w:hint="eastAsia" w:ascii="宋体" w:hAnsi="宋体"/>
                <w:b/>
                <w:bCs/>
                <w:sz w:val="24"/>
                <w:szCs w:val="24"/>
              </w:rPr>
              <w:t>单项得分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701" w:type="dxa"/>
            <w:vMerge w:val="restart"/>
            <w:vAlign w:val="center"/>
          </w:tcPr>
          <w:p>
            <w:pPr>
              <w:jc w:val="center"/>
              <w:rPr>
                <w:rFonts w:ascii="宋体" w:hAnsi="宋体"/>
                <w:b/>
                <w:bCs/>
                <w:sz w:val="24"/>
                <w:szCs w:val="24"/>
              </w:rPr>
            </w:pPr>
          </w:p>
        </w:tc>
        <w:tc>
          <w:tcPr>
            <w:tcW w:w="1671" w:type="dxa"/>
            <w:vMerge w:val="restart"/>
            <w:vAlign w:val="center"/>
          </w:tcPr>
          <w:p>
            <w:pPr>
              <w:spacing w:line="360" w:lineRule="auto"/>
              <w:jc w:val="center"/>
              <w:rPr>
                <w:rFonts w:ascii="宋体" w:hAnsi="宋体"/>
                <w:szCs w:val="21"/>
              </w:rPr>
            </w:pPr>
            <w:r>
              <w:rPr>
                <w:rFonts w:hint="eastAsia" w:ascii="宋体" w:hAnsi="宋体"/>
                <w:szCs w:val="21"/>
              </w:rPr>
              <w:t>表彰奖励</w:t>
            </w:r>
          </w:p>
          <w:p>
            <w:pPr>
              <w:spacing w:line="240" w:lineRule="atLeast"/>
              <w:jc w:val="left"/>
              <w:rPr>
                <w:sz w:val="15"/>
                <w:szCs w:val="21"/>
              </w:rPr>
            </w:pPr>
            <w:r>
              <w:rPr>
                <w:rFonts w:hint="eastAsia"/>
                <w:sz w:val="15"/>
                <w:szCs w:val="21"/>
              </w:rPr>
              <w:t>（1.工程相关的奖励以园林绿化类奖项为准，非园林绿化类的奖项不计分值；2.注册地非本市的企业仅记录在深圳行政区域内的项目或去的奖项和表彰，非深圳行政区域内的项目获取的奖项和表彰不予记录；3.同一企业、同一项目、同一性质的不同级别荣誉，按照最高级别计分、不做累积得分；4.奖励信息日期一正式发文的日期为准。评价时点上溯3年内有效。）</w:t>
            </w:r>
          </w:p>
        </w:tc>
        <w:tc>
          <w:tcPr>
            <w:tcW w:w="457" w:type="dxa"/>
            <w:vMerge w:val="restart"/>
            <w:vAlign w:val="center"/>
          </w:tcPr>
          <w:p>
            <w:pPr>
              <w:spacing w:line="360" w:lineRule="auto"/>
              <w:jc w:val="center"/>
              <w:rPr>
                <w:rFonts w:ascii="宋体" w:hAnsi="宋体"/>
                <w:szCs w:val="21"/>
              </w:rPr>
            </w:pPr>
            <w:r>
              <w:rPr>
                <w:rFonts w:hint="eastAsia" w:ascii="宋体" w:hAnsi="宋体"/>
                <w:szCs w:val="21"/>
                <w:lang w:val="en-US" w:eastAsia="zh-CN"/>
              </w:rPr>
              <w:t>2</w:t>
            </w:r>
            <w:bookmarkStart w:id="0" w:name="_GoBack"/>
            <w:bookmarkEnd w:id="0"/>
            <w:r>
              <w:rPr>
                <w:rFonts w:hint="eastAsia" w:ascii="宋体" w:hAnsi="宋体"/>
                <w:szCs w:val="21"/>
              </w:rPr>
              <w:t>5</w:t>
            </w:r>
          </w:p>
        </w:tc>
        <w:tc>
          <w:tcPr>
            <w:tcW w:w="5469" w:type="dxa"/>
            <w:vAlign w:val="center"/>
          </w:tcPr>
          <w:p>
            <w:pPr>
              <w:ind w:left="266" w:hanging="266" w:hangingChars="148"/>
              <w:rPr>
                <w:sz w:val="18"/>
              </w:rPr>
            </w:pPr>
            <w:r>
              <w:rPr>
                <w:rFonts w:hint="eastAsia"/>
                <w:sz w:val="18"/>
              </w:rPr>
              <w:t>1、</w:t>
            </w:r>
            <w:r>
              <w:rPr>
                <w:sz w:val="18"/>
              </w:rPr>
              <w:t>优秀</w:t>
            </w:r>
            <w:r>
              <w:rPr>
                <w:rFonts w:hint="eastAsia"/>
                <w:sz w:val="18"/>
              </w:rPr>
              <w:t>（优良）工程奖：国家风景园林学会优秀工程奖：大金奖2.0分、金奖1.5分、银奖1.0分、铜奖0.8分；广东省风景园林协会优良样板工程（</w:t>
            </w:r>
            <w:r>
              <w:rPr>
                <w:sz w:val="18"/>
              </w:rPr>
              <w:t>含管理养护</w:t>
            </w:r>
            <w:r>
              <w:rPr>
                <w:rFonts w:hint="eastAsia"/>
                <w:sz w:val="18"/>
              </w:rPr>
              <w:t>）奖及深圳市风景园林协会优秀工程（含养护、立体绿化）奖：大金奖1.5分、金奖1.0分、银奖0.8分、铜奖0.4分。此项累计不超过10分。</w:t>
            </w:r>
          </w:p>
        </w:tc>
        <w:tc>
          <w:tcPr>
            <w:tcW w:w="457" w:type="dxa"/>
            <w:vAlign w:val="center"/>
          </w:tcPr>
          <w:p>
            <w:pPr>
              <w:spacing w:line="360" w:lineRule="auto"/>
              <w:rPr>
                <w:szCs w:val="21"/>
              </w:rPr>
            </w:pPr>
          </w:p>
        </w:tc>
        <w:tc>
          <w:tcPr>
            <w:tcW w:w="531" w:type="dxa"/>
            <w:vMerge w:val="restart"/>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ind w:left="266" w:hanging="266" w:hangingChars="148"/>
              <w:rPr>
                <w:sz w:val="18"/>
              </w:rPr>
            </w:pPr>
            <w:r>
              <w:rPr>
                <w:rFonts w:hint="eastAsia"/>
                <w:sz w:val="18"/>
              </w:rPr>
              <w:t>2、科技进步奖：主持完成的园林项目获深圳市科技进步一等奖或广东省科技进步二等奖及以上奖，每项2分；获深圳市科技进步二等奖或广东省科技进步奖三等奖，每项1.5分；获国家风景园林学会或深圳市风景园林协会科技进步一等奖1.2分、二等奖1.0分、三等奖0.8分。参加得分减半。此项总计不超过4分。</w:t>
            </w:r>
          </w:p>
        </w:tc>
        <w:tc>
          <w:tcPr>
            <w:tcW w:w="457" w:type="dxa"/>
            <w:vAlign w:val="center"/>
          </w:tcPr>
          <w:p>
            <w:pPr>
              <w:spacing w:line="360" w:lineRule="auto"/>
              <w:rPr>
                <w:szCs w:val="21"/>
              </w:rPr>
            </w:pPr>
          </w:p>
        </w:tc>
        <w:tc>
          <w:tcPr>
            <w:tcW w:w="531" w:type="dxa"/>
            <w:vMerge w:val="continue"/>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ind w:left="266" w:hanging="266" w:hangingChars="148"/>
              <w:rPr>
                <w:sz w:val="18"/>
              </w:rPr>
            </w:pPr>
            <w:r>
              <w:rPr>
                <w:rFonts w:hint="eastAsia"/>
                <w:sz w:val="18"/>
              </w:rPr>
              <w:t>3、高新技术企业：国家高新技术企业1分，深圳市高新技术企业0.3分。</w:t>
            </w:r>
          </w:p>
        </w:tc>
        <w:tc>
          <w:tcPr>
            <w:tcW w:w="457" w:type="dxa"/>
            <w:vAlign w:val="center"/>
          </w:tcPr>
          <w:p>
            <w:pPr>
              <w:spacing w:line="360" w:lineRule="auto"/>
              <w:rPr>
                <w:szCs w:val="21"/>
              </w:rPr>
            </w:pPr>
          </w:p>
        </w:tc>
        <w:tc>
          <w:tcPr>
            <w:tcW w:w="531" w:type="dxa"/>
            <w:vMerge w:val="continue"/>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ind w:left="266" w:hanging="266" w:hangingChars="148"/>
              <w:rPr>
                <w:sz w:val="18"/>
              </w:rPr>
            </w:pPr>
            <w:r>
              <w:rPr>
                <w:rFonts w:hint="eastAsia"/>
                <w:sz w:val="18"/>
              </w:rPr>
              <w:t>4、优秀规划设计奖：主持完成的项目获国家风景园林学会或深圳风景园林协会优秀规划设计一等奖1分，二等奖0.8分，三等奖0.4分；参加得分减半。本项累计不超过2分。</w:t>
            </w:r>
          </w:p>
        </w:tc>
        <w:tc>
          <w:tcPr>
            <w:tcW w:w="457" w:type="dxa"/>
            <w:vAlign w:val="center"/>
          </w:tcPr>
          <w:p>
            <w:pPr>
              <w:spacing w:line="360" w:lineRule="auto"/>
              <w:rPr>
                <w:szCs w:val="21"/>
              </w:rPr>
            </w:pPr>
          </w:p>
        </w:tc>
        <w:tc>
          <w:tcPr>
            <w:tcW w:w="531" w:type="dxa"/>
            <w:vMerge w:val="continue"/>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ind w:left="266" w:hanging="266" w:hangingChars="148"/>
              <w:rPr>
                <w:sz w:val="18"/>
              </w:rPr>
            </w:pPr>
            <w:r>
              <w:rPr>
                <w:rFonts w:hint="eastAsia"/>
                <w:sz w:val="18"/>
              </w:rPr>
              <w:t>5、园林植物新品种和园林工程专利：国家品种审定委员会认定的园林植物新品种，每一个1分；省品种审定委员会认定的园林植物新品种，每一个0.5分；园林工程发明专利每一项0.3分，实用新型专利每一项0.1分。本项累计不超过4分。</w:t>
            </w:r>
          </w:p>
        </w:tc>
        <w:tc>
          <w:tcPr>
            <w:tcW w:w="457" w:type="dxa"/>
            <w:vAlign w:val="center"/>
          </w:tcPr>
          <w:p>
            <w:pPr>
              <w:spacing w:line="360" w:lineRule="auto"/>
              <w:rPr>
                <w:szCs w:val="21"/>
              </w:rPr>
            </w:pPr>
          </w:p>
        </w:tc>
        <w:tc>
          <w:tcPr>
            <w:tcW w:w="531" w:type="dxa"/>
            <w:vMerge w:val="continue"/>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ind w:left="266" w:hanging="266" w:hangingChars="148"/>
              <w:rPr>
                <w:sz w:val="18"/>
              </w:rPr>
            </w:pPr>
            <w:r>
              <w:rPr>
                <w:rFonts w:hint="eastAsia"/>
                <w:sz w:val="18"/>
              </w:rPr>
              <w:t>6、园林标准规范：主持完成国家或行业标准、规范编写，每一项1分；主持完成广东省或深圳市行业标准、规范编写，每一项0.5分；参加得分减半。本项累计不超过2分。</w:t>
            </w:r>
          </w:p>
        </w:tc>
        <w:tc>
          <w:tcPr>
            <w:tcW w:w="457" w:type="dxa"/>
            <w:vAlign w:val="center"/>
          </w:tcPr>
          <w:p>
            <w:pPr>
              <w:spacing w:line="360" w:lineRule="auto"/>
              <w:rPr>
                <w:szCs w:val="21"/>
              </w:rPr>
            </w:pPr>
          </w:p>
        </w:tc>
        <w:tc>
          <w:tcPr>
            <w:tcW w:w="531" w:type="dxa"/>
            <w:vMerge w:val="continue"/>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701" w:type="dxa"/>
            <w:vMerge w:val="continue"/>
            <w:vAlign w:val="center"/>
          </w:tcPr>
          <w:p>
            <w:pPr>
              <w:jc w:val="center"/>
              <w:rPr>
                <w:rFonts w:ascii="宋体" w:hAnsi="宋体"/>
                <w:b/>
                <w:bCs/>
                <w:sz w:val="24"/>
                <w:szCs w:val="24"/>
              </w:rPr>
            </w:pPr>
          </w:p>
        </w:tc>
        <w:tc>
          <w:tcPr>
            <w:tcW w:w="1671" w:type="dxa"/>
            <w:vMerge w:val="continue"/>
            <w:vAlign w:val="center"/>
          </w:tcPr>
          <w:p>
            <w:pPr>
              <w:spacing w:line="360" w:lineRule="auto"/>
              <w:jc w:val="center"/>
              <w:rPr>
                <w:rFonts w:ascii="宋体" w:hAnsi="宋体"/>
                <w:szCs w:val="21"/>
              </w:rPr>
            </w:pPr>
          </w:p>
        </w:tc>
        <w:tc>
          <w:tcPr>
            <w:tcW w:w="457" w:type="dxa"/>
            <w:vMerge w:val="continue"/>
            <w:vAlign w:val="center"/>
          </w:tcPr>
          <w:p>
            <w:pPr>
              <w:spacing w:line="360" w:lineRule="auto"/>
              <w:jc w:val="center"/>
              <w:rPr>
                <w:rFonts w:ascii="宋体" w:hAnsi="宋体"/>
                <w:szCs w:val="21"/>
              </w:rPr>
            </w:pPr>
          </w:p>
        </w:tc>
        <w:tc>
          <w:tcPr>
            <w:tcW w:w="5469" w:type="dxa"/>
            <w:vAlign w:val="center"/>
          </w:tcPr>
          <w:p>
            <w:pPr>
              <w:ind w:left="266" w:hanging="266" w:hangingChars="148"/>
              <w:rPr>
                <w:sz w:val="18"/>
              </w:rPr>
            </w:pPr>
            <w:r>
              <w:rPr>
                <w:rFonts w:hint="eastAsia"/>
                <w:sz w:val="18"/>
              </w:rPr>
              <w:t>7、守合同重信誉：连续10年被广东省工商局评为“守合同，重信誉”单位2分，上年度被地级以上工商局评为“守合同，重信誉”单位1分。</w:t>
            </w:r>
          </w:p>
        </w:tc>
        <w:tc>
          <w:tcPr>
            <w:tcW w:w="457" w:type="dxa"/>
            <w:vAlign w:val="center"/>
          </w:tcPr>
          <w:p>
            <w:pPr>
              <w:spacing w:line="360" w:lineRule="auto"/>
              <w:rPr>
                <w:szCs w:val="21"/>
              </w:rPr>
            </w:pPr>
          </w:p>
        </w:tc>
        <w:tc>
          <w:tcPr>
            <w:tcW w:w="531" w:type="dxa"/>
            <w:vMerge w:val="continue"/>
            <w:vAlign w:val="center"/>
          </w:tcPr>
          <w:p>
            <w:pPr>
              <w:spacing w:line="360" w:lineRule="auto"/>
              <w:jc w:val="center"/>
              <w:rPr>
                <w:szCs w:val="21"/>
              </w:rPr>
            </w:pPr>
          </w:p>
        </w:tc>
      </w:tr>
    </w:tbl>
    <w:p>
      <w:pPr>
        <w:rPr>
          <w:rFonts w:ascii="宋体" w:hAnsi="宋体"/>
          <w:sz w:val="24"/>
          <w:szCs w:val="24"/>
        </w:rPr>
      </w:pPr>
    </w:p>
    <w:p>
      <w:pPr>
        <w:widowControl/>
        <w:jc w:val="left"/>
        <w:rPr>
          <w:rFonts w:ascii="宋体" w:hAnsi="宋体"/>
          <w:sz w:val="24"/>
          <w:szCs w:val="24"/>
        </w:rPr>
      </w:pPr>
      <w:r>
        <w:rPr>
          <w:rFonts w:ascii="宋体" w:hAnsi="宋体"/>
          <w:sz w:val="24"/>
          <w:szCs w:val="24"/>
        </w:rPr>
        <w:br w:type="page"/>
      </w:r>
    </w:p>
    <w:tbl>
      <w:tblPr>
        <w:tblStyle w:val="5"/>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612"/>
        <w:gridCol w:w="579"/>
        <w:gridCol w:w="5439"/>
        <w:gridCol w:w="457"/>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698" w:type="dxa"/>
            <w:vAlign w:val="center"/>
          </w:tcPr>
          <w:p>
            <w:pPr>
              <w:jc w:val="center"/>
              <w:rPr>
                <w:rFonts w:ascii="宋体" w:hAnsi="宋体"/>
                <w:b/>
                <w:bCs/>
                <w:sz w:val="24"/>
                <w:szCs w:val="24"/>
              </w:rPr>
            </w:pPr>
            <w:r>
              <w:rPr>
                <w:rFonts w:hint="eastAsia" w:ascii="宋体" w:hAnsi="宋体"/>
                <w:b/>
                <w:bCs/>
                <w:sz w:val="24"/>
                <w:szCs w:val="24"/>
              </w:rPr>
              <w:t>项目</w:t>
            </w:r>
          </w:p>
        </w:tc>
        <w:tc>
          <w:tcPr>
            <w:tcW w:w="1612" w:type="dxa"/>
            <w:vAlign w:val="center"/>
          </w:tcPr>
          <w:p>
            <w:pPr>
              <w:spacing w:line="360" w:lineRule="auto"/>
              <w:jc w:val="center"/>
              <w:rPr>
                <w:rFonts w:ascii="宋体" w:hAnsi="宋体"/>
                <w:b/>
                <w:bCs/>
                <w:sz w:val="24"/>
                <w:szCs w:val="24"/>
              </w:rPr>
            </w:pPr>
            <w:r>
              <w:rPr>
                <w:rFonts w:hint="eastAsia" w:ascii="宋体" w:hAnsi="宋体"/>
                <w:b/>
                <w:bCs/>
                <w:sz w:val="24"/>
                <w:szCs w:val="24"/>
              </w:rPr>
              <w:t>评 价 内 容</w:t>
            </w:r>
          </w:p>
        </w:tc>
        <w:tc>
          <w:tcPr>
            <w:tcW w:w="579" w:type="dxa"/>
            <w:vAlign w:val="center"/>
          </w:tcPr>
          <w:p>
            <w:pPr>
              <w:spacing w:line="360" w:lineRule="auto"/>
              <w:jc w:val="center"/>
              <w:rPr>
                <w:rFonts w:ascii="宋体" w:hAnsi="宋体"/>
                <w:b/>
                <w:bCs/>
                <w:sz w:val="24"/>
                <w:szCs w:val="24"/>
              </w:rPr>
            </w:pPr>
            <w:r>
              <w:rPr>
                <w:rFonts w:hint="eastAsia" w:ascii="宋体" w:hAnsi="宋体"/>
                <w:b/>
                <w:bCs/>
                <w:sz w:val="24"/>
                <w:szCs w:val="24"/>
              </w:rPr>
              <w:t>满分分值</w:t>
            </w:r>
          </w:p>
        </w:tc>
        <w:tc>
          <w:tcPr>
            <w:tcW w:w="5439" w:type="dxa"/>
            <w:vAlign w:val="center"/>
          </w:tcPr>
          <w:p>
            <w:pPr>
              <w:spacing w:line="360" w:lineRule="auto"/>
              <w:jc w:val="center"/>
              <w:rPr>
                <w:rFonts w:ascii="宋体" w:hAnsi="宋体"/>
                <w:b/>
                <w:bCs/>
                <w:sz w:val="24"/>
                <w:szCs w:val="24"/>
              </w:rPr>
            </w:pPr>
            <w:r>
              <w:rPr>
                <w:rFonts w:hint="eastAsia" w:ascii="宋体" w:hAnsi="宋体"/>
                <w:b/>
                <w:bCs/>
                <w:sz w:val="24"/>
                <w:szCs w:val="24"/>
              </w:rPr>
              <w:t>评  价  标  准</w:t>
            </w:r>
          </w:p>
        </w:tc>
        <w:tc>
          <w:tcPr>
            <w:tcW w:w="457" w:type="dxa"/>
            <w:vAlign w:val="center"/>
          </w:tcPr>
          <w:p>
            <w:pPr>
              <w:spacing w:line="360" w:lineRule="auto"/>
              <w:jc w:val="center"/>
              <w:rPr>
                <w:rFonts w:ascii="宋体" w:hAnsi="宋体"/>
                <w:b/>
                <w:bCs/>
                <w:sz w:val="24"/>
                <w:szCs w:val="24"/>
              </w:rPr>
            </w:pPr>
            <w:r>
              <w:rPr>
                <w:rFonts w:hint="eastAsia" w:ascii="宋体" w:hAnsi="宋体"/>
                <w:b/>
                <w:bCs/>
                <w:sz w:val="24"/>
                <w:szCs w:val="24"/>
              </w:rPr>
              <w:t>得分</w:t>
            </w:r>
          </w:p>
        </w:tc>
        <w:tc>
          <w:tcPr>
            <w:tcW w:w="501" w:type="dxa"/>
            <w:vAlign w:val="center"/>
          </w:tcPr>
          <w:p>
            <w:pPr>
              <w:spacing w:line="360" w:lineRule="auto"/>
              <w:jc w:val="center"/>
              <w:rPr>
                <w:rFonts w:ascii="宋体" w:hAnsi="宋体"/>
                <w:b/>
                <w:bCs/>
                <w:sz w:val="24"/>
                <w:szCs w:val="24"/>
              </w:rPr>
            </w:pPr>
            <w:r>
              <w:rPr>
                <w:rFonts w:hint="eastAsia" w:ascii="宋体" w:hAnsi="宋体"/>
                <w:b/>
                <w:bCs/>
                <w:sz w:val="24"/>
                <w:szCs w:val="24"/>
              </w:rPr>
              <w:t>单项得分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jc w:val="center"/>
        </w:trPr>
        <w:tc>
          <w:tcPr>
            <w:tcW w:w="698" w:type="dxa"/>
            <w:vAlign w:val="center"/>
          </w:tcPr>
          <w:p>
            <w:pPr>
              <w:spacing w:line="480" w:lineRule="auto"/>
              <w:jc w:val="center"/>
              <w:rPr>
                <w:rFonts w:ascii="宋体" w:hAnsi="宋体"/>
                <w:b/>
                <w:bCs/>
                <w:sz w:val="24"/>
                <w:szCs w:val="24"/>
              </w:rPr>
            </w:pPr>
            <w:r>
              <w:rPr>
                <w:rFonts w:hint="eastAsia" w:ascii="宋体" w:hAnsi="宋体"/>
                <w:b/>
                <w:bCs/>
                <w:sz w:val="24"/>
                <w:szCs w:val="24"/>
              </w:rPr>
              <w:t>五、失信评价</w:t>
            </w:r>
          </w:p>
        </w:tc>
        <w:tc>
          <w:tcPr>
            <w:tcW w:w="1612" w:type="dxa"/>
            <w:vAlign w:val="center"/>
          </w:tcPr>
          <w:p>
            <w:pPr>
              <w:spacing w:line="360" w:lineRule="auto"/>
              <w:jc w:val="center"/>
              <w:rPr>
                <w:rFonts w:ascii="宋体" w:hAnsi="宋体"/>
                <w:bCs/>
                <w:szCs w:val="21"/>
              </w:rPr>
            </w:pPr>
            <w:r>
              <w:rPr>
                <w:rFonts w:hint="eastAsia" w:ascii="宋体" w:hAnsi="宋体"/>
                <w:bCs/>
                <w:szCs w:val="21"/>
              </w:rPr>
              <w:t>重大失信行为</w:t>
            </w:r>
          </w:p>
          <w:p>
            <w:pPr>
              <w:spacing w:line="240" w:lineRule="atLeast"/>
              <w:jc w:val="center"/>
              <w:rPr>
                <w:rFonts w:ascii="宋体" w:hAnsi="宋体"/>
                <w:bCs/>
                <w:sz w:val="15"/>
                <w:szCs w:val="15"/>
              </w:rPr>
            </w:pPr>
            <w:r>
              <w:rPr>
                <w:rFonts w:hint="eastAsia" w:ascii="宋体" w:hAnsi="宋体"/>
                <w:bCs/>
                <w:sz w:val="15"/>
                <w:szCs w:val="15"/>
              </w:rPr>
              <w:t>（</w:t>
            </w:r>
            <w:r>
              <w:rPr>
                <w:rFonts w:hint="eastAsia"/>
                <w:sz w:val="15"/>
                <w:szCs w:val="15"/>
              </w:rPr>
              <w:t>评价时点上溯3年）</w:t>
            </w:r>
          </w:p>
        </w:tc>
        <w:tc>
          <w:tcPr>
            <w:tcW w:w="579" w:type="dxa"/>
            <w:vAlign w:val="center"/>
          </w:tcPr>
          <w:p>
            <w:pPr>
              <w:spacing w:line="360" w:lineRule="auto"/>
              <w:jc w:val="center"/>
              <w:rPr>
                <w:rFonts w:ascii="宋体" w:hAnsi="宋体"/>
                <w:b/>
                <w:bCs/>
                <w:sz w:val="24"/>
                <w:szCs w:val="24"/>
              </w:rPr>
            </w:pPr>
            <w:r>
              <w:rPr>
                <w:rFonts w:hint="eastAsia" w:ascii="宋体" w:hAnsi="宋体"/>
                <w:b/>
                <w:bCs/>
                <w:sz w:val="24"/>
                <w:szCs w:val="24"/>
              </w:rPr>
              <w:t>-40</w:t>
            </w:r>
          </w:p>
        </w:tc>
        <w:tc>
          <w:tcPr>
            <w:tcW w:w="5439" w:type="dxa"/>
            <w:vAlign w:val="center"/>
          </w:tcPr>
          <w:p>
            <w:pPr>
              <w:pStyle w:val="9"/>
              <w:numPr>
                <w:ilvl w:val="0"/>
                <w:numId w:val="7"/>
              </w:numPr>
              <w:ind w:left="290" w:hanging="290" w:firstLineChars="0"/>
              <w:jc w:val="left"/>
              <w:rPr>
                <w:rFonts w:ascii="宋体" w:hAnsi="宋体"/>
                <w:bCs/>
                <w:sz w:val="18"/>
                <w:szCs w:val="24"/>
              </w:rPr>
            </w:pPr>
            <w:r>
              <w:rPr>
                <w:rFonts w:hint="eastAsia" w:ascii="宋体" w:hAnsi="宋体"/>
                <w:bCs/>
                <w:sz w:val="18"/>
                <w:szCs w:val="24"/>
              </w:rPr>
              <w:t>发生较大及以上工程质量、生产安全责任事故，经调查认定对事故负有责任的。</w:t>
            </w:r>
          </w:p>
          <w:p>
            <w:pPr>
              <w:pStyle w:val="9"/>
              <w:numPr>
                <w:ilvl w:val="0"/>
                <w:numId w:val="7"/>
              </w:numPr>
              <w:ind w:left="290" w:hanging="290" w:firstLineChars="0"/>
              <w:jc w:val="left"/>
              <w:rPr>
                <w:rFonts w:ascii="宋体" w:hAnsi="宋体"/>
                <w:bCs/>
                <w:sz w:val="18"/>
                <w:szCs w:val="24"/>
              </w:rPr>
            </w:pPr>
            <w:r>
              <w:rPr>
                <w:rFonts w:hint="eastAsia" w:ascii="宋体" w:hAnsi="宋体"/>
                <w:bCs/>
                <w:sz w:val="18"/>
                <w:szCs w:val="24"/>
              </w:rPr>
              <w:t>发生工程质量、安全事故，隐瞒不报、谎报，或阻碍调查，故意破坏事故现场，毁灭有关证据的。</w:t>
            </w:r>
          </w:p>
          <w:p>
            <w:pPr>
              <w:pStyle w:val="9"/>
              <w:numPr>
                <w:ilvl w:val="0"/>
                <w:numId w:val="7"/>
              </w:numPr>
              <w:ind w:left="290" w:hanging="290" w:firstLineChars="0"/>
              <w:jc w:val="left"/>
              <w:rPr>
                <w:rFonts w:ascii="宋体" w:hAnsi="宋体"/>
                <w:bCs/>
                <w:sz w:val="18"/>
                <w:szCs w:val="24"/>
              </w:rPr>
            </w:pPr>
            <w:r>
              <w:rPr>
                <w:rFonts w:hint="eastAsia" w:ascii="宋体" w:hAnsi="宋体"/>
                <w:bCs/>
                <w:sz w:val="18"/>
                <w:szCs w:val="24"/>
              </w:rPr>
              <w:t>欺骗或欺诈客户及侵犯甲方权益的行为。</w:t>
            </w:r>
          </w:p>
          <w:p>
            <w:pPr>
              <w:pStyle w:val="9"/>
              <w:numPr>
                <w:ilvl w:val="0"/>
                <w:numId w:val="7"/>
              </w:numPr>
              <w:ind w:left="290" w:hanging="290" w:firstLineChars="0"/>
              <w:jc w:val="left"/>
              <w:rPr>
                <w:rFonts w:ascii="宋体" w:hAnsi="宋体"/>
                <w:bCs/>
                <w:sz w:val="18"/>
                <w:szCs w:val="24"/>
              </w:rPr>
            </w:pPr>
            <w:r>
              <w:rPr>
                <w:rFonts w:hint="eastAsia" w:ascii="宋体" w:hAnsi="宋体"/>
                <w:bCs/>
                <w:sz w:val="18"/>
                <w:szCs w:val="24"/>
              </w:rPr>
              <w:t>因劳资纠纷发生重大群体事件。</w:t>
            </w:r>
          </w:p>
          <w:p>
            <w:pPr>
              <w:pStyle w:val="9"/>
              <w:numPr>
                <w:ilvl w:val="0"/>
                <w:numId w:val="7"/>
              </w:numPr>
              <w:ind w:left="290" w:hanging="290" w:firstLineChars="0"/>
              <w:jc w:val="left"/>
              <w:rPr>
                <w:rFonts w:ascii="宋体" w:hAnsi="宋体"/>
                <w:bCs/>
                <w:sz w:val="18"/>
                <w:szCs w:val="24"/>
              </w:rPr>
            </w:pPr>
            <w:r>
              <w:rPr>
                <w:rFonts w:hint="eastAsia" w:ascii="宋体" w:hAnsi="宋体"/>
                <w:bCs/>
                <w:sz w:val="18"/>
                <w:szCs w:val="24"/>
              </w:rPr>
              <w:t>有商业贿赂行为，有不正当竞争、恶意竞标、违法分包行为的。</w:t>
            </w:r>
          </w:p>
          <w:p>
            <w:pPr>
              <w:pStyle w:val="9"/>
              <w:numPr>
                <w:ilvl w:val="0"/>
                <w:numId w:val="7"/>
              </w:numPr>
              <w:ind w:left="290" w:hanging="290" w:firstLineChars="0"/>
              <w:jc w:val="left"/>
              <w:rPr>
                <w:rFonts w:ascii="宋体" w:hAnsi="宋体"/>
                <w:bCs/>
                <w:sz w:val="18"/>
                <w:szCs w:val="24"/>
              </w:rPr>
            </w:pPr>
            <w:r>
              <w:rPr>
                <w:rFonts w:ascii="宋体" w:hAnsi="宋体"/>
                <w:bCs/>
                <w:sz w:val="18"/>
                <w:szCs w:val="24"/>
              </w:rPr>
              <w:t>存在因己方原因造成的重大违约事件</w:t>
            </w:r>
            <w:r>
              <w:rPr>
                <w:rFonts w:hint="eastAsia" w:ascii="宋体" w:hAnsi="宋体"/>
                <w:bCs/>
                <w:sz w:val="18"/>
                <w:szCs w:val="24"/>
              </w:rPr>
              <w:t>。</w:t>
            </w:r>
          </w:p>
          <w:p>
            <w:pPr>
              <w:pStyle w:val="9"/>
              <w:numPr>
                <w:ilvl w:val="0"/>
                <w:numId w:val="7"/>
              </w:numPr>
              <w:ind w:left="290" w:hanging="290" w:firstLineChars="0"/>
              <w:jc w:val="left"/>
              <w:rPr>
                <w:rFonts w:ascii="宋体" w:hAnsi="宋体"/>
                <w:bCs/>
                <w:sz w:val="18"/>
                <w:szCs w:val="24"/>
              </w:rPr>
            </w:pPr>
            <w:r>
              <w:rPr>
                <w:rFonts w:hint="eastAsia" w:ascii="宋体" w:hAnsi="宋体"/>
                <w:bCs/>
                <w:sz w:val="18"/>
                <w:szCs w:val="24"/>
              </w:rPr>
              <w:t>因不良行为受法院判决的或受行政处罚而未按规定时间主动向协会申报的。</w:t>
            </w:r>
          </w:p>
          <w:p>
            <w:pPr>
              <w:pStyle w:val="9"/>
              <w:numPr>
                <w:ilvl w:val="0"/>
                <w:numId w:val="7"/>
              </w:numPr>
              <w:ind w:left="290" w:hanging="290" w:firstLineChars="0"/>
              <w:jc w:val="left"/>
              <w:rPr>
                <w:rFonts w:ascii="宋体" w:hAnsi="宋体"/>
                <w:bCs/>
                <w:sz w:val="18"/>
                <w:szCs w:val="24"/>
              </w:rPr>
            </w:pPr>
            <w:r>
              <w:rPr>
                <w:rFonts w:ascii="宋体" w:hAnsi="宋体"/>
                <w:bCs/>
                <w:sz w:val="18"/>
                <w:szCs w:val="24"/>
              </w:rPr>
              <w:t>存在偷税漏税现象</w:t>
            </w:r>
            <w:r>
              <w:rPr>
                <w:rFonts w:hint="eastAsia" w:ascii="宋体" w:hAnsi="宋体"/>
                <w:bCs/>
                <w:sz w:val="18"/>
                <w:szCs w:val="24"/>
              </w:rPr>
              <w:t>。</w:t>
            </w:r>
          </w:p>
          <w:p>
            <w:pPr>
              <w:pStyle w:val="9"/>
              <w:numPr>
                <w:ilvl w:val="0"/>
                <w:numId w:val="7"/>
              </w:numPr>
              <w:ind w:left="290" w:hanging="290" w:firstLineChars="0"/>
              <w:jc w:val="left"/>
              <w:rPr>
                <w:rFonts w:ascii="宋体" w:hAnsi="宋体"/>
                <w:bCs/>
                <w:sz w:val="18"/>
                <w:szCs w:val="24"/>
              </w:rPr>
            </w:pPr>
            <w:r>
              <w:rPr>
                <w:rFonts w:ascii="宋体" w:hAnsi="宋体"/>
                <w:bCs/>
                <w:sz w:val="18"/>
                <w:szCs w:val="24"/>
              </w:rPr>
              <w:t>伪造和弄虚作假</w:t>
            </w:r>
            <w:r>
              <w:rPr>
                <w:rFonts w:hint="eastAsia" w:ascii="宋体" w:hAnsi="宋体"/>
                <w:bCs/>
                <w:sz w:val="18"/>
                <w:szCs w:val="24"/>
              </w:rPr>
              <w:t>申报资料。</w:t>
            </w:r>
          </w:p>
          <w:p>
            <w:pPr>
              <w:pStyle w:val="9"/>
              <w:numPr>
                <w:ilvl w:val="0"/>
                <w:numId w:val="7"/>
              </w:numPr>
              <w:ind w:left="290" w:hanging="290" w:firstLineChars="0"/>
              <w:jc w:val="left"/>
              <w:rPr>
                <w:rFonts w:ascii="宋体" w:hAnsi="宋体"/>
                <w:bCs/>
                <w:sz w:val="18"/>
                <w:szCs w:val="24"/>
              </w:rPr>
            </w:pPr>
            <w:r>
              <w:rPr>
                <w:rFonts w:hint="eastAsia" w:ascii="宋体" w:hAnsi="宋体"/>
                <w:bCs/>
                <w:sz w:val="18"/>
                <w:szCs w:val="24"/>
              </w:rPr>
              <w:t>施工单位、劳务分包单位所承建（包）项目发生工资纠纷，经政府有关部门通知，预期未到场配合解决的。</w:t>
            </w:r>
          </w:p>
          <w:p>
            <w:pPr>
              <w:pStyle w:val="9"/>
              <w:numPr>
                <w:ilvl w:val="0"/>
                <w:numId w:val="7"/>
              </w:numPr>
              <w:ind w:left="290" w:hanging="290" w:firstLineChars="0"/>
              <w:jc w:val="left"/>
              <w:rPr>
                <w:rFonts w:ascii="宋体" w:hAnsi="宋体"/>
                <w:b/>
                <w:bCs/>
                <w:sz w:val="18"/>
                <w:szCs w:val="24"/>
              </w:rPr>
            </w:pPr>
            <w:r>
              <w:rPr>
                <w:rFonts w:hint="eastAsia" w:ascii="宋体" w:hAnsi="宋体"/>
                <w:bCs/>
                <w:sz w:val="18"/>
                <w:szCs w:val="24"/>
              </w:rPr>
              <w:t>被国家、省市列入建筑（园林绿化）施工行业黑名单有效记录的。</w:t>
            </w:r>
          </w:p>
          <w:p>
            <w:pPr>
              <w:pStyle w:val="9"/>
              <w:numPr>
                <w:ilvl w:val="0"/>
                <w:numId w:val="7"/>
              </w:numPr>
              <w:ind w:left="290" w:hanging="290" w:firstLineChars="0"/>
              <w:jc w:val="left"/>
              <w:rPr>
                <w:rFonts w:ascii="宋体" w:hAnsi="宋体"/>
                <w:bCs/>
                <w:sz w:val="18"/>
                <w:szCs w:val="24"/>
              </w:rPr>
            </w:pPr>
            <w:r>
              <w:rPr>
                <w:rFonts w:ascii="宋体" w:hAnsi="宋体"/>
                <w:bCs/>
                <w:sz w:val="18"/>
                <w:szCs w:val="24"/>
              </w:rPr>
              <w:t>有其他严重市场违规行为的</w:t>
            </w:r>
            <w:r>
              <w:rPr>
                <w:rFonts w:hint="eastAsia" w:ascii="宋体" w:hAnsi="宋体"/>
                <w:bCs/>
                <w:sz w:val="18"/>
                <w:szCs w:val="24"/>
              </w:rPr>
              <w:t>。</w:t>
            </w:r>
          </w:p>
        </w:tc>
        <w:tc>
          <w:tcPr>
            <w:tcW w:w="457" w:type="dxa"/>
            <w:vAlign w:val="center"/>
          </w:tcPr>
          <w:p>
            <w:pPr>
              <w:spacing w:line="360" w:lineRule="auto"/>
              <w:jc w:val="center"/>
              <w:rPr>
                <w:rFonts w:ascii="宋体" w:hAnsi="宋体"/>
                <w:b/>
                <w:bCs/>
                <w:sz w:val="24"/>
                <w:szCs w:val="24"/>
              </w:rPr>
            </w:pPr>
          </w:p>
        </w:tc>
        <w:tc>
          <w:tcPr>
            <w:tcW w:w="501" w:type="dxa"/>
            <w:vAlign w:val="center"/>
          </w:tcPr>
          <w:p>
            <w:pPr>
              <w:spacing w:line="360" w:lineRule="auto"/>
              <w:jc w:val="center"/>
              <w:rPr>
                <w:rFonts w:ascii="宋体" w:hAnsi="宋体"/>
                <w:b/>
                <w:bCs/>
                <w:sz w:val="24"/>
                <w:szCs w:val="24"/>
              </w:rPr>
            </w:pPr>
          </w:p>
        </w:tc>
      </w:tr>
    </w:tbl>
    <w:p>
      <w:pPr>
        <w:rPr>
          <w:rFonts w:ascii="宋体" w:hAnsi="宋体"/>
          <w:sz w:val="24"/>
          <w:szCs w:val="24"/>
        </w:rPr>
      </w:pPr>
    </w:p>
    <w:sectPr>
      <w:footerReference r:id="rId3" w:type="default"/>
      <w:footerReference r:id="rId4"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47956FD"/>
    <w:multiLevelType w:val="multilevel"/>
    <w:tmpl w:val="347956F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B20C4C"/>
    <w:multiLevelType w:val="multilevel"/>
    <w:tmpl w:val="3DB20C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3A7189E"/>
    <w:multiLevelType w:val="multilevel"/>
    <w:tmpl w:val="43A7189E"/>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50F7E9B"/>
    <w:multiLevelType w:val="singleLevel"/>
    <w:tmpl w:val="550F7E9B"/>
    <w:lvl w:ilvl="0" w:tentative="0">
      <w:start w:val="1"/>
      <w:numFmt w:val="decimal"/>
      <w:suff w:val="nothing"/>
      <w:lvlText w:val="%1、"/>
      <w:lvlJc w:val="left"/>
    </w:lvl>
  </w:abstractNum>
  <w:abstractNum w:abstractNumId="5">
    <w:nsid w:val="61A1222B"/>
    <w:multiLevelType w:val="multilevel"/>
    <w:tmpl w:val="61A1222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8285B11"/>
    <w:multiLevelType w:val="multilevel"/>
    <w:tmpl w:val="78285B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30C1"/>
    <w:rsid w:val="000317B9"/>
    <w:rsid w:val="00050066"/>
    <w:rsid w:val="000A1F8E"/>
    <w:rsid w:val="000A6E06"/>
    <w:rsid w:val="000C11C8"/>
    <w:rsid w:val="000C5A1A"/>
    <w:rsid w:val="000C7D62"/>
    <w:rsid w:val="000E516D"/>
    <w:rsid w:val="00113C18"/>
    <w:rsid w:val="00117F9C"/>
    <w:rsid w:val="00125458"/>
    <w:rsid w:val="0013044B"/>
    <w:rsid w:val="00132F9F"/>
    <w:rsid w:val="00164F49"/>
    <w:rsid w:val="001704AF"/>
    <w:rsid w:val="00172A27"/>
    <w:rsid w:val="00173FEE"/>
    <w:rsid w:val="00180D3A"/>
    <w:rsid w:val="001823B3"/>
    <w:rsid w:val="001953B3"/>
    <w:rsid w:val="001A37C8"/>
    <w:rsid w:val="001B4458"/>
    <w:rsid w:val="001B7C3C"/>
    <w:rsid w:val="001C1CE5"/>
    <w:rsid w:val="00202770"/>
    <w:rsid w:val="00207EC7"/>
    <w:rsid w:val="00234348"/>
    <w:rsid w:val="00240303"/>
    <w:rsid w:val="00266463"/>
    <w:rsid w:val="00280EC7"/>
    <w:rsid w:val="002965E3"/>
    <w:rsid w:val="002A50C4"/>
    <w:rsid w:val="002B34C8"/>
    <w:rsid w:val="002B5E76"/>
    <w:rsid w:val="002F7429"/>
    <w:rsid w:val="00302EC0"/>
    <w:rsid w:val="00341D92"/>
    <w:rsid w:val="003457BE"/>
    <w:rsid w:val="0035562D"/>
    <w:rsid w:val="003A127B"/>
    <w:rsid w:val="003A43C6"/>
    <w:rsid w:val="003C1826"/>
    <w:rsid w:val="003C3BC9"/>
    <w:rsid w:val="003C7AD1"/>
    <w:rsid w:val="003E05C5"/>
    <w:rsid w:val="003E4292"/>
    <w:rsid w:val="0041159A"/>
    <w:rsid w:val="00417475"/>
    <w:rsid w:val="0045401F"/>
    <w:rsid w:val="004A3F3E"/>
    <w:rsid w:val="004B6D2C"/>
    <w:rsid w:val="004E00AE"/>
    <w:rsid w:val="00502D01"/>
    <w:rsid w:val="00514C22"/>
    <w:rsid w:val="00520C64"/>
    <w:rsid w:val="00545C7B"/>
    <w:rsid w:val="005617E0"/>
    <w:rsid w:val="0058519A"/>
    <w:rsid w:val="005B5C1B"/>
    <w:rsid w:val="005C696C"/>
    <w:rsid w:val="005D7C6B"/>
    <w:rsid w:val="005F4036"/>
    <w:rsid w:val="005F446B"/>
    <w:rsid w:val="00607128"/>
    <w:rsid w:val="00607EEE"/>
    <w:rsid w:val="00623DF9"/>
    <w:rsid w:val="00657710"/>
    <w:rsid w:val="00657F5A"/>
    <w:rsid w:val="00671C23"/>
    <w:rsid w:val="00683A70"/>
    <w:rsid w:val="0068412C"/>
    <w:rsid w:val="00692EAF"/>
    <w:rsid w:val="006C4A83"/>
    <w:rsid w:val="006C5A68"/>
    <w:rsid w:val="006E0561"/>
    <w:rsid w:val="00700B07"/>
    <w:rsid w:val="007032DB"/>
    <w:rsid w:val="00754370"/>
    <w:rsid w:val="00762FCB"/>
    <w:rsid w:val="00773C26"/>
    <w:rsid w:val="00780418"/>
    <w:rsid w:val="00787530"/>
    <w:rsid w:val="007B1539"/>
    <w:rsid w:val="007C2E32"/>
    <w:rsid w:val="00804860"/>
    <w:rsid w:val="0081709D"/>
    <w:rsid w:val="00820065"/>
    <w:rsid w:val="00843C03"/>
    <w:rsid w:val="00854E33"/>
    <w:rsid w:val="00881320"/>
    <w:rsid w:val="00887756"/>
    <w:rsid w:val="0089769A"/>
    <w:rsid w:val="008A2056"/>
    <w:rsid w:val="008B7904"/>
    <w:rsid w:val="008E5069"/>
    <w:rsid w:val="008E5314"/>
    <w:rsid w:val="008F72F6"/>
    <w:rsid w:val="009424F1"/>
    <w:rsid w:val="00952998"/>
    <w:rsid w:val="00970F94"/>
    <w:rsid w:val="00981EF4"/>
    <w:rsid w:val="00985753"/>
    <w:rsid w:val="009910AD"/>
    <w:rsid w:val="009B4CA9"/>
    <w:rsid w:val="009D214C"/>
    <w:rsid w:val="009E06D1"/>
    <w:rsid w:val="009F1504"/>
    <w:rsid w:val="00A62CE7"/>
    <w:rsid w:val="00A66F1A"/>
    <w:rsid w:val="00A71E88"/>
    <w:rsid w:val="00A8490B"/>
    <w:rsid w:val="00AA28DD"/>
    <w:rsid w:val="00AB38C9"/>
    <w:rsid w:val="00AC37CB"/>
    <w:rsid w:val="00AC3C62"/>
    <w:rsid w:val="00AC6DEC"/>
    <w:rsid w:val="00AE6459"/>
    <w:rsid w:val="00AF1BA1"/>
    <w:rsid w:val="00AF31DA"/>
    <w:rsid w:val="00AF77D1"/>
    <w:rsid w:val="00B047CB"/>
    <w:rsid w:val="00B24EE9"/>
    <w:rsid w:val="00B278C8"/>
    <w:rsid w:val="00B431CF"/>
    <w:rsid w:val="00B467CD"/>
    <w:rsid w:val="00B7364C"/>
    <w:rsid w:val="00B8775E"/>
    <w:rsid w:val="00B917B5"/>
    <w:rsid w:val="00BA1B2E"/>
    <w:rsid w:val="00BA6507"/>
    <w:rsid w:val="00BB336B"/>
    <w:rsid w:val="00BB61F3"/>
    <w:rsid w:val="00BE0877"/>
    <w:rsid w:val="00BE4E18"/>
    <w:rsid w:val="00BE52DA"/>
    <w:rsid w:val="00BE6CC4"/>
    <w:rsid w:val="00BE7026"/>
    <w:rsid w:val="00C70683"/>
    <w:rsid w:val="00C90797"/>
    <w:rsid w:val="00C95F61"/>
    <w:rsid w:val="00C97523"/>
    <w:rsid w:val="00CC214A"/>
    <w:rsid w:val="00CF7BA2"/>
    <w:rsid w:val="00D0035B"/>
    <w:rsid w:val="00D10530"/>
    <w:rsid w:val="00D35502"/>
    <w:rsid w:val="00D54910"/>
    <w:rsid w:val="00D61C0F"/>
    <w:rsid w:val="00D65151"/>
    <w:rsid w:val="00D82855"/>
    <w:rsid w:val="00D82EDC"/>
    <w:rsid w:val="00DB3D93"/>
    <w:rsid w:val="00DC6D92"/>
    <w:rsid w:val="00DD60AF"/>
    <w:rsid w:val="00DE0033"/>
    <w:rsid w:val="00DE2763"/>
    <w:rsid w:val="00DE3661"/>
    <w:rsid w:val="00DF6EDD"/>
    <w:rsid w:val="00E13BEC"/>
    <w:rsid w:val="00E256E1"/>
    <w:rsid w:val="00E636E6"/>
    <w:rsid w:val="00E63DA7"/>
    <w:rsid w:val="00E72908"/>
    <w:rsid w:val="00E904D3"/>
    <w:rsid w:val="00E923B8"/>
    <w:rsid w:val="00EA164F"/>
    <w:rsid w:val="00EA295B"/>
    <w:rsid w:val="00EE32FC"/>
    <w:rsid w:val="00F0073C"/>
    <w:rsid w:val="00F07002"/>
    <w:rsid w:val="00F16CD1"/>
    <w:rsid w:val="00F251DD"/>
    <w:rsid w:val="00F3323C"/>
    <w:rsid w:val="00F605FC"/>
    <w:rsid w:val="00F71AB9"/>
    <w:rsid w:val="00F8610F"/>
    <w:rsid w:val="00FA1EC9"/>
    <w:rsid w:val="00FA65A0"/>
    <w:rsid w:val="00FA72C9"/>
    <w:rsid w:val="00FB062F"/>
    <w:rsid w:val="00FF1A66"/>
    <w:rsid w:val="1524753B"/>
    <w:rsid w:val="1E174524"/>
    <w:rsid w:val="22AE5D73"/>
    <w:rsid w:val="3431735D"/>
    <w:rsid w:val="343244BC"/>
    <w:rsid w:val="68EC2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paragraph" w:customStyle="1" w:styleId="8">
    <w:name w:val="Char Char Char Char"/>
    <w:basedOn w:val="1"/>
    <w:qFormat/>
    <w:uiPriority w:val="0"/>
    <w:pPr>
      <w:widowControl/>
      <w:spacing w:after="160" w:line="240" w:lineRule="exact"/>
      <w:jc w:val="left"/>
    </w:p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37C6D8-D504-443E-BD18-96DCAEF4CC94}">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Pages>
  <Words>541</Words>
  <Characters>3085</Characters>
  <Lines>25</Lines>
  <Paragraphs>7</Paragraphs>
  <TotalTime>3</TotalTime>
  <ScaleCrop>false</ScaleCrop>
  <LinksUpToDate>false</LinksUpToDate>
  <CharactersWithSpaces>3619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2019-09-19T02:29:00Z</dcterms:created>
  <dc:creator>Administrator</dc:creator>
  <cp:lastModifiedBy>Administrator</cp:lastModifiedBy>
  <cp:lastPrinted>2017-08-21T02:11:00Z</cp:lastPrinted>
  <dcterms:modified xsi:type="dcterms:W3CDTF">2019-09-19T04:21:58Z</dcterms:modified>
  <dc:title>广东省园林绿化企业信用评价计分标准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