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hint="eastAsia" w:eastAsia="仿宋_GB2312"/>
          <w:b/>
          <w:sz w:val="32"/>
          <w:szCs w:val="32"/>
        </w:rPr>
      </w:pPr>
      <w:r>
        <w:rPr>
          <w:rFonts w:eastAsia="仿宋_GB2312"/>
          <w:b/>
          <w:sz w:val="32"/>
          <w:szCs w:val="32"/>
        </w:rPr>
        <w:t>附件</w:t>
      </w:r>
      <w:r>
        <w:rPr>
          <w:rFonts w:hint="eastAsia" w:eastAsia="仿宋_GB2312"/>
          <w:b/>
          <w:sz w:val="32"/>
          <w:szCs w:val="32"/>
        </w:rPr>
        <w:t>一</w:t>
      </w:r>
    </w:p>
    <w:p>
      <w:pPr>
        <w:jc w:val="center"/>
        <w:rPr>
          <w:rFonts w:ascii="宋体" w:hAnsi="宋体" w:cs="宋体"/>
          <w:b/>
          <w:bCs/>
          <w:sz w:val="44"/>
          <w:szCs w:val="44"/>
        </w:rPr>
      </w:pPr>
      <w:r>
        <w:rPr>
          <w:rFonts w:hint="eastAsia" w:ascii="宋体" w:hAnsi="宋体" w:cs="宋体"/>
          <w:b/>
          <w:bCs/>
          <w:sz w:val="44"/>
          <w:szCs w:val="44"/>
        </w:rPr>
        <w:t>深圳市园林绿化企业信用评价指标体系</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71"/>
        <w:gridCol w:w="457"/>
        <w:gridCol w:w="5469"/>
        <w:gridCol w:w="45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01" w:type="dxa"/>
            <w:vAlign w:val="center"/>
          </w:tcPr>
          <w:p>
            <w:pPr>
              <w:jc w:val="center"/>
              <w:rPr>
                <w:rFonts w:ascii="宋体" w:hAnsi="宋体"/>
                <w:b/>
                <w:bCs/>
                <w:sz w:val="24"/>
                <w:szCs w:val="24"/>
              </w:rPr>
            </w:pPr>
            <w:r>
              <w:rPr>
                <w:rFonts w:hint="eastAsia" w:ascii="宋体" w:hAnsi="宋体"/>
                <w:b/>
                <w:bCs/>
                <w:sz w:val="24"/>
                <w:szCs w:val="24"/>
              </w:rPr>
              <w:t>项目</w:t>
            </w:r>
          </w:p>
        </w:tc>
        <w:tc>
          <w:tcPr>
            <w:tcW w:w="1671" w:type="dxa"/>
            <w:vAlign w:val="center"/>
          </w:tcPr>
          <w:p>
            <w:pPr>
              <w:spacing w:line="360" w:lineRule="auto"/>
              <w:jc w:val="center"/>
              <w:rPr>
                <w:rFonts w:ascii="宋体" w:hAnsi="宋体"/>
                <w:b/>
                <w:bCs/>
                <w:sz w:val="24"/>
                <w:szCs w:val="24"/>
              </w:rPr>
            </w:pPr>
            <w:r>
              <w:rPr>
                <w:rFonts w:hint="eastAsia" w:ascii="宋体" w:hAnsi="宋体"/>
                <w:b/>
                <w:bCs/>
                <w:sz w:val="24"/>
                <w:szCs w:val="24"/>
              </w:rPr>
              <w:t>评 价 内 容</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满分分值</w:t>
            </w:r>
          </w:p>
        </w:tc>
        <w:tc>
          <w:tcPr>
            <w:tcW w:w="5469" w:type="dxa"/>
            <w:vAlign w:val="center"/>
          </w:tcPr>
          <w:p>
            <w:pPr>
              <w:spacing w:line="360" w:lineRule="auto"/>
              <w:jc w:val="center"/>
              <w:rPr>
                <w:rFonts w:ascii="宋体" w:hAnsi="宋体"/>
                <w:b/>
                <w:bCs/>
                <w:sz w:val="24"/>
                <w:szCs w:val="24"/>
              </w:rPr>
            </w:pPr>
            <w:r>
              <w:rPr>
                <w:rFonts w:hint="eastAsia" w:ascii="宋体" w:hAnsi="宋体"/>
                <w:b/>
                <w:bCs/>
                <w:sz w:val="24"/>
                <w:szCs w:val="24"/>
              </w:rPr>
              <w:t>评  价  标  准</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分值</w:t>
            </w:r>
          </w:p>
        </w:tc>
        <w:tc>
          <w:tcPr>
            <w:tcW w:w="531" w:type="dxa"/>
            <w:vAlign w:val="center"/>
          </w:tcPr>
          <w:p>
            <w:pPr>
              <w:spacing w:line="360" w:lineRule="auto"/>
              <w:jc w:val="center"/>
              <w:rPr>
                <w:rFonts w:ascii="宋体" w:hAnsi="宋体"/>
                <w:b/>
                <w:bCs/>
                <w:sz w:val="24"/>
                <w:szCs w:val="24"/>
              </w:rPr>
            </w:pPr>
            <w:r>
              <w:rPr>
                <w:rFonts w:hint="eastAsia" w:ascii="宋体" w:hAnsi="宋体"/>
                <w:b/>
                <w:bCs/>
                <w:sz w:val="24"/>
                <w:szCs w:val="24"/>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701" w:type="dxa"/>
            <w:vMerge w:val="restart"/>
            <w:vAlign w:val="center"/>
          </w:tcPr>
          <w:p>
            <w:pPr>
              <w:spacing w:line="480" w:lineRule="auto"/>
              <w:jc w:val="center"/>
              <w:rPr>
                <w:rFonts w:ascii="宋体" w:hAnsi="宋体"/>
                <w:b/>
                <w:bCs/>
                <w:sz w:val="24"/>
                <w:szCs w:val="24"/>
              </w:rPr>
            </w:pPr>
            <w:r>
              <w:rPr>
                <w:rFonts w:hint="eastAsia" w:ascii="宋体" w:hAnsi="宋体"/>
                <w:b/>
                <w:bCs/>
                <w:sz w:val="24"/>
                <w:szCs w:val="24"/>
              </w:rPr>
              <w:t>一、信用管理体系建设情况</w:t>
            </w:r>
          </w:p>
        </w:tc>
        <w:tc>
          <w:tcPr>
            <w:tcW w:w="1671" w:type="dxa"/>
            <w:vMerge w:val="restart"/>
            <w:vAlign w:val="center"/>
          </w:tcPr>
          <w:p>
            <w:pPr>
              <w:spacing w:line="360" w:lineRule="auto"/>
              <w:jc w:val="center"/>
              <w:rPr>
                <w:rFonts w:ascii="宋体" w:hAnsi="宋体"/>
                <w:szCs w:val="21"/>
              </w:rPr>
            </w:pPr>
            <w:r>
              <w:rPr>
                <w:rFonts w:hint="eastAsia" w:ascii="宋体" w:hAnsi="宋体"/>
                <w:szCs w:val="21"/>
              </w:rPr>
              <w:t>信用管理制度</w:t>
            </w:r>
          </w:p>
        </w:tc>
        <w:tc>
          <w:tcPr>
            <w:tcW w:w="457" w:type="dxa"/>
            <w:vMerge w:val="restart"/>
            <w:vAlign w:val="center"/>
          </w:tcPr>
          <w:p>
            <w:pPr>
              <w:spacing w:line="360" w:lineRule="auto"/>
              <w:jc w:val="center"/>
              <w:rPr>
                <w:rFonts w:ascii="宋体" w:hAnsi="宋体"/>
                <w:szCs w:val="21"/>
              </w:rPr>
            </w:pPr>
            <w:r>
              <w:rPr>
                <w:rFonts w:hint="eastAsia" w:ascii="宋体" w:hAnsi="宋体"/>
                <w:szCs w:val="21"/>
              </w:rPr>
              <w:t>8</w:t>
            </w: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合同管理制度；</w:t>
            </w:r>
          </w:p>
        </w:tc>
        <w:tc>
          <w:tcPr>
            <w:tcW w:w="457" w:type="dxa"/>
            <w:vAlign w:val="center"/>
          </w:tcPr>
          <w:p>
            <w:pPr>
              <w:spacing w:line="360" w:lineRule="auto"/>
              <w:jc w:val="center"/>
              <w:rPr>
                <w:rFonts w:ascii="宋体" w:hAnsi="宋体"/>
                <w:szCs w:val="21"/>
              </w:rPr>
            </w:pPr>
          </w:p>
        </w:tc>
        <w:tc>
          <w:tcPr>
            <w:tcW w:w="531"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客户资信调查制度；</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财务、税务管理制度；</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质量管理制度；</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售后服务制度；</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劳动用工制度；</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法定代表人授权委托制度；</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1"/>
              </w:numPr>
              <w:spacing w:line="360" w:lineRule="auto"/>
              <w:ind w:firstLineChars="0"/>
              <w:rPr>
                <w:rFonts w:ascii="宋体" w:hAnsi="宋体"/>
                <w:szCs w:val="21"/>
              </w:rPr>
            </w:pPr>
            <w:r>
              <w:rPr>
                <w:rFonts w:hint="eastAsia" w:ascii="宋体" w:hAnsi="宋体"/>
                <w:szCs w:val="21"/>
              </w:rPr>
              <w:t>安全、文明、环保管理制度。（每项1分）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restart"/>
            <w:vAlign w:val="center"/>
          </w:tcPr>
          <w:p>
            <w:pPr>
              <w:spacing w:line="360" w:lineRule="auto"/>
              <w:jc w:val="center"/>
              <w:rPr>
                <w:rFonts w:ascii="宋体" w:hAnsi="宋体"/>
                <w:szCs w:val="21"/>
              </w:rPr>
            </w:pPr>
            <w:r>
              <w:rPr>
                <w:rFonts w:hint="eastAsia" w:ascii="宋体" w:hAnsi="宋体"/>
                <w:szCs w:val="21"/>
              </w:rPr>
              <w:t>信用管理机构</w:t>
            </w:r>
          </w:p>
        </w:tc>
        <w:tc>
          <w:tcPr>
            <w:tcW w:w="457" w:type="dxa"/>
            <w:vMerge w:val="restart"/>
            <w:vAlign w:val="center"/>
          </w:tcPr>
          <w:p>
            <w:pPr>
              <w:spacing w:line="360" w:lineRule="auto"/>
              <w:jc w:val="center"/>
              <w:rPr>
                <w:rFonts w:ascii="宋体" w:hAnsi="宋体"/>
                <w:szCs w:val="21"/>
              </w:rPr>
            </w:pPr>
            <w:r>
              <w:rPr>
                <w:rFonts w:hint="eastAsia" w:ascii="宋体" w:hAnsi="宋体"/>
                <w:szCs w:val="21"/>
              </w:rPr>
              <w:t>3</w:t>
            </w:r>
          </w:p>
        </w:tc>
        <w:tc>
          <w:tcPr>
            <w:tcW w:w="5469" w:type="dxa"/>
            <w:vAlign w:val="center"/>
          </w:tcPr>
          <w:p>
            <w:pPr>
              <w:numPr>
                <w:ilvl w:val="0"/>
                <w:numId w:val="2"/>
              </w:numPr>
              <w:tabs>
                <w:tab w:val="clear" w:pos="360"/>
              </w:tabs>
              <w:spacing w:line="360" w:lineRule="auto"/>
              <w:ind w:left="0" w:firstLine="0"/>
              <w:jc w:val="left"/>
              <w:rPr>
                <w:rFonts w:ascii="宋体" w:hAnsi="宋体"/>
                <w:szCs w:val="21"/>
              </w:rPr>
            </w:pPr>
            <w:r>
              <w:rPr>
                <w:rFonts w:ascii="宋体" w:hAnsi="宋体"/>
                <w:szCs w:val="21"/>
              </w:rPr>
              <w:t>设立完善的信用</w:t>
            </w:r>
            <w:r>
              <w:rPr>
                <w:rFonts w:hint="eastAsia" w:ascii="宋体" w:hAnsi="宋体"/>
                <w:szCs w:val="21"/>
              </w:rPr>
              <w:t>、</w:t>
            </w:r>
            <w:r>
              <w:rPr>
                <w:rFonts w:ascii="宋体" w:hAnsi="宋体"/>
                <w:szCs w:val="21"/>
              </w:rPr>
              <w:t>质检和安全的</w:t>
            </w:r>
            <w:r>
              <w:rPr>
                <w:rFonts w:hint="eastAsia" w:ascii="宋体" w:hAnsi="宋体"/>
                <w:szCs w:val="21"/>
              </w:rPr>
              <w:t>管理</w:t>
            </w:r>
            <w:r>
              <w:rPr>
                <w:rFonts w:ascii="宋体" w:hAnsi="宋体"/>
                <w:szCs w:val="21"/>
              </w:rPr>
              <w:t>组织机构</w:t>
            </w:r>
            <w:r>
              <w:rPr>
                <w:rFonts w:hint="eastAsia" w:ascii="宋体" w:hAnsi="宋体"/>
                <w:szCs w:val="21"/>
              </w:rPr>
              <w:t>。</w:t>
            </w:r>
          </w:p>
        </w:tc>
        <w:tc>
          <w:tcPr>
            <w:tcW w:w="457" w:type="dxa"/>
            <w:vAlign w:val="center"/>
          </w:tcPr>
          <w:p>
            <w:pPr>
              <w:spacing w:line="360" w:lineRule="auto"/>
              <w:jc w:val="center"/>
              <w:rPr>
                <w:szCs w:val="21"/>
              </w:rPr>
            </w:pPr>
          </w:p>
        </w:tc>
        <w:tc>
          <w:tcPr>
            <w:tcW w:w="531"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numPr>
                <w:ilvl w:val="0"/>
                <w:numId w:val="2"/>
              </w:numPr>
              <w:tabs>
                <w:tab w:val="clear" w:pos="360"/>
              </w:tabs>
              <w:spacing w:line="360" w:lineRule="auto"/>
              <w:ind w:left="0" w:firstLine="0"/>
              <w:jc w:val="left"/>
              <w:rPr>
                <w:rFonts w:ascii="宋体" w:hAnsi="宋体"/>
                <w:szCs w:val="21"/>
              </w:rPr>
            </w:pPr>
            <w:r>
              <w:rPr>
                <w:rFonts w:ascii="宋体" w:hAnsi="宋体"/>
                <w:szCs w:val="21"/>
              </w:rPr>
              <w:t>明确各组织机构部门职责</w:t>
            </w:r>
            <w:r>
              <w:rPr>
                <w:rFonts w:hint="eastAsia" w:ascii="宋体" w:hAnsi="宋体"/>
                <w:szCs w:val="21"/>
              </w:rPr>
              <w:t>；</w:t>
            </w:r>
          </w:p>
        </w:tc>
        <w:tc>
          <w:tcPr>
            <w:tcW w:w="457" w:type="dxa"/>
            <w:vAlign w:val="center"/>
          </w:tcPr>
          <w:p>
            <w:pPr>
              <w:spacing w:line="360" w:lineRule="auto"/>
              <w:jc w:val="center"/>
              <w:rPr>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numPr>
                <w:ilvl w:val="0"/>
                <w:numId w:val="2"/>
              </w:numPr>
              <w:tabs>
                <w:tab w:val="clear" w:pos="360"/>
              </w:tabs>
              <w:spacing w:line="360" w:lineRule="auto"/>
              <w:ind w:left="0" w:firstLine="0"/>
              <w:jc w:val="left"/>
              <w:rPr>
                <w:rFonts w:ascii="宋体" w:hAnsi="宋体"/>
                <w:szCs w:val="21"/>
              </w:rPr>
            </w:pPr>
            <w:r>
              <w:rPr>
                <w:rFonts w:ascii="宋体" w:hAnsi="宋体"/>
                <w:szCs w:val="21"/>
              </w:rPr>
              <w:t>配备各机构主要人员</w:t>
            </w:r>
            <w:r>
              <w:rPr>
                <w:rFonts w:hint="eastAsia" w:ascii="宋体" w:hAnsi="宋体"/>
                <w:szCs w:val="21"/>
              </w:rPr>
              <w:t>。（每项1分）</w:t>
            </w:r>
          </w:p>
        </w:tc>
        <w:tc>
          <w:tcPr>
            <w:tcW w:w="457" w:type="dxa"/>
            <w:vAlign w:val="center"/>
          </w:tcPr>
          <w:p>
            <w:pPr>
              <w:spacing w:line="360" w:lineRule="auto"/>
              <w:jc w:val="center"/>
              <w:rPr>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701" w:type="dxa"/>
            <w:vMerge w:val="continue"/>
            <w:vAlign w:val="center"/>
          </w:tcPr>
          <w:p>
            <w:pPr>
              <w:jc w:val="center"/>
              <w:rPr>
                <w:rFonts w:ascii="宋体" w:hAnsi="宋体"/>
                <w:b/>
                <w:bCs/>
                <w:sz w:val="24"/>
                <w:szCs w:val="24"/>
              </w:rPr>
            </w:pPr>
          </w:p>
        </w:tc>
        <w:tc>
          <w:tcPr>
            <w:tcW w:w="1671" w:type="dxa"/>
            <w:vMerge w:val="restart"/>
            <w:vAlign w:val="center"/>
          </w:tcPr>
          <w:p>
            <w:pPr>
              <w:spacing w:line="360" w:lineRule="auto"/>
              <w:jc w:val="center"/>
              <w:rPr>
                <w:rFonts w:ascii="宋体" w:hAnsi="宋体"/>
                <w:szCs w:val="21"/>
              </w:rPr>
            </w:pPr>
            <w:r>
              <w:rPr>
                <w:rFonts w:hint="eastAsia" w:ascii="宋体" w:hAnsi="宋体"/>
                <w:szCs w:val="21"/>
              </w:rPr>
              <w:t>信用管理基本情况</w:t>
            </w:r>
          </w:p>
        </w:tc>
        <w:tc>
          <w:tcPr>
            <w:tcW w:w="457" w:type="dxa"/>
            <w:vMerge w:val="restart"/>
            <w:vAlign w:val="center"/>
          </w:tcPr>
          <w:p>
            <w:pPr>
              <w:spacing w:line="360" w:lineRule="auto"/>
              <w:jc w:val="center"/>
              <w:rPr>
                <w:rFonts w:ascii="宋体" w:hAnsi="宋体"/>
                <w:szCs w:val="21"/>
              </w:rPr>
            </w:pPr>
            <w:r>
              <w:rPr>
                <w:rFonts w:hint="eastAsia" w:ascii="宋体" w:hAnsi="宋体"/>
                <w:szCs w:val="21"/>
              </w:rPr>
              <w:t>4</w:t>
            </w:r>
          </w:p>
        </w:tc>
        <w:tc>
          <w:tcPr>
            <w:tcW w:w="5469" w:type="dxa"/>
            <w:vAlign w:val="center"/>
          </w:tcPr>
          <w:p>
            <w:pPr>
              <w:pStyle w:val="9"/>
              <w:numPr>
                <w:ilvl w:val="0"/>
                <w:numId w:val="3"/>
              </w:numPr>
              <w:spacing w:line="360" w:lineRule="auto"/>
              <w:ind w:left="290" w:hanging="289" w:hangingChars="138"/>
              <w:jc w:val="left"/>
              <w:rPr>
                <w:rFonts w:ascii="宋体" w:hAnsi="宋体"/>
                <w:szCs w:val="21"/>
              </w:rPr>
            </w:pPr>
            <w:r>
              <w:rPr>
                <w:rFonts w:hint="eastAsia" w:ascii="宋体" w:hAnsi="宋体"/>
                <w:szCs w:val="21"/>
              </w:rPr>
              <w:t>劳动用工规范，按规定缴纳了社保，并使用劳动和社会保障局印制的合同范本。</w:t>
            </w:r>
          </w:p>
        </w:tc>
        <w:tc>
          <w:tcPr>
            <w:tcW w:w="457" w:type="dxa"/>
            <w:vAlign w:val="center"/>
          </w:tcPr>
          <w:p>
            <w:pPr>
              <w:spacing w:line="360" w:lineRule="auto"/>
              <w:jc w:val="center"/>
              <w:rPr>
                <w:rFonts w:ascii="宋体" w:hAnsi="宋体"/>
                <w:szCs w:val="21"/>
              </w:rPr>
            </w:pPr>
          </w:p>
        </w:tc>
        <w:tc>
          <w:tcPr>
            <w:tcW w:w="531"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3"/>
              </w:numPr>
              <w:spacing w:line="360" w:lineRule="auto"/>
              <w:ind w:left="290" w:hanging="289" w:hangingChars="138"/>
              <w:jc w:val="left"/>
              <w:rPr>
                <w:rFonts w:ascii="宋体" w:hAnsi="宋体"/>
                <w:szCs w:val="21"/>
              </w:rPr>
            </w:pPr>
            <w:r>
              <w:rPr>
                <w:rFonts w:hint="eastAsia" w:ascii="宋体" w:hAnsi="宋体"/>
                <w:szCs w:val="21"/>
              </w:rPr>
              <w:t>有规范、完整的合同台账和档案，能及时、准确地提供统计数据和有关资料。</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3"/>
              </w:numPr>
              <w:spacing w:line="360" w:lineRule="auto"/>
              <w:ind w:left="420" w:hanging="420" w:hangingChars="200"/>
              <w:jc w:val="left"/>
              <w:rPr>
                <w:rFonts w:ascii="宋体" w:hAnsi="宋体"/>
                <w:szCs w:val="21"/>
              </w:rPr>
            </w:pPr>
            <w:r>
              <w:rPr>
                <w:rFonts w:ascii="宋体" w:hAnsi="宋体"/>
                <w:szCs w:val="21"/>
              </w:rPr>
              <w:t>财务管理规范</w:t>
            </w:r>
            <w:r>
              <w:rPr>
                <w:rFonts w:hint="eastAsia" w:ascii="宋体" w:hAnsi="宋体"/>
                <w:szCs w:val="21"/>
              </w:rPr>
              <w:t>，有会计事务所出具的审计报告。</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3"/>
              </w:numPr>
              <w:spacing w:line="360" w:lineRule="auto"/>
              <w:ind w:left="290" w:hanging="289" w:hangingChars="138"/>
              <w:jc w:val="left"/>
              <w:rPr>
                <w:rFonts w:ascii="宋体" w:hAnsi="宋体"/>
                <w:szCs w:val="21"/>
              </w:rPr>
            </w:pPr>
            <w:r>
              <w:rPr>
                <w:rFonts w:hint="eastAsia" w:ascii="宋体" w:hAnsi="宋体"/>
                <w:szCs w:val="21"/>
              </w:rPr>
              <w:t>施工管理规范，严格执行国家、地方及行业的园林施工标准和规范，质检和安全管理资料齐全。（每项1分）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bl>
    <w:p>
      <w:pPr>
        <w:rPr>
          <w:rFonts w:ascii="宋体" w:hAnsi="宋体"/>
          <w:color w:val="0070C0"/>
          <w:sz w:val="24"/>
          <w:szCs w:val="24"/>
        </w:rPr>
      </w:pPr>
    </w:p>
    <w:p>
      <w:pPr>
        <w:widowControl/>
        <w:jc w:val="left"/>
        <w:rPr>
          <w:rFonts w:ascii="宋体" w:hAnsi="宋体"/>
          <w:sz w:val="24"/>
          <w:szCs w:val="24"/>
        </w:rPr>
      </w:pPr>
      <w:r>
        <w:rPr>
          <w:rFonts w:ascii="宋体" w:hAnsi="宋体"/>
          <w:sz w:val="24"/>
          <w:szCs w:val="24"/>
        </w:rPr>
        <w:br w:type="page"/>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71"/>
        <w:gridCol w:w="457"/>
        <w:gridCol w:w="5469"/>
        <w:gridCol w:w="45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01" w:type="dxa"/>
            <w:vAlign w:val="center"/>
          </w:tcPr>
          <w:p>
            <w:pPr>
              <w:jc w:val="center"/>
              <w:rPr>
                <w:rFonts w:ascii="宋体" w:hAnsi="宋体"/>
                <w:b/>
                <w:bCs/>
                <w:sz w:val="24"/>
                <w:szCs w:val="24"/>
              </w:rPr>
            </w:pPr>
            <w:r>
              <w:rPr>
                <w:rFonts w:hint="eastAsia" w:ascii="宋体" w:hAnsi="宋体"/>
                <w:b/>
                <w:bCs/>
                <w:sz w:val="24"/>
                <w:szCs w:val="24"/>
              </w:rPr>
              <w:t>项目</w:t>
            </w:r>
          </w:p>
        </w:tc>
        <w:tc>
          <w:tcPr>
            <w:tcW w:w="1671" w:type="dxa"/>
            <w:vAlign w:val="center"/>
          </w:tcPr>
          <w:p>
            <w:pPr>
              <w:spacing w:line="360" w:lineRule="auto"/>
              <w:jc w:val="center"/>
              <w:rPr>
                <w:rFonts w:ascii="宋体" w:hAnsi="宋体"/>
                <w:b/>
                <w:bCs/>
                <w:sz w:val="24"/>
                <w:szCs w:val="24"/>
              </w:rPr>
            </w:pPr>
            <w:r>
              <w:rPr>
                <w:rFonts w:hint="eastAsia" w:ascii="宋体" w:hAnsi="宋体"/>
                <w:b/>
                <w:bCs/>
                <w:sz w:val="24"/>
                <w:szCs w:val="24"/>
              </w:rPr>
              <w:t>评 价 内 容</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满分分值</w:t>
            </w:r>
          </w:p>
        </w:tc>
        <w:tc>
          <w:tcPr>
            <w:tcW w:w="5469" w:type="dxa"/>
            <w:vAlign w:val="center"/>
          </w:tcPr>
          <w:p>
            <w:pPr>
              <w:spacing w:line="360" w:lineRule="auto"/>
              <w:jc w:val="center"/>
              <w:rPr>
                <w:rFonts w:ascii="宋体" w:hAnsi="宋体"/>
                <w:b/>
                <w:bCs/>
                <w:sz w:val="24"/>
                <w:szCs w:val="24"/>
              </w:rPr>
            </w:pPr>
            <w:r>
              <w:rPr>
                <w:rFonts w:hint="eastAsia" w:ascii="宋体" w:hAnsi="宋体"/>
                <w:b/>
                <w:bCs/>
                <w:sz w:val="24"/>
                <w:szCs w:val="24"/>
              </w:rPr>
              <w:t>评  价  标  准</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得分</w:t>
            </w:r>
          </w:p>
        </w:tc>
        <w:tc>
          <w:tcPr>
            <w:tcW w:w="531" w:type="dxa"/>
            <w:vAlign w:val="center"/>
          </w:tcPr>
          <w:p>
            <w:pPr>
              <w:spacing w:line="360" w:lineRule="auto"/>
              <w:jc w:val="center"/>
              <w:rPr>
                <w:rFonts w:ascii="宋体" w:hAnsi="宋体"/>
                <w:b/>
                <w:bCs/>
                <w:sz w:val="24"/>
                <w:szCs w:val="24"/>
              </w:rPr>
            </w:pPr>
            <w:r>
              <w:rPr>
                <w:rFonts w:hint="eastAsia" w:ascii="宋体" w:hAnsi="宋体"/>
                <w:b/>
                <w:bCs/>
                <w:sz w:val="24"/>
                <w:szCs w:val="24"/>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 w:hRule="atLeast"/>
          <w:jc w:val="center"/>
        </w:trPr>
        <w:tc>
          <w:tcPr>
            <w:tcW w:w="701" w:type="dxa"/>
            <w:vMerge w:val="restart"/>
            <w:vAlign w:val="center"/>
          </w:tcPr>
          <w:p>
            <w:pPr>
              <w:spacing w:line="480" w:lineRule="auto"/>
              <w:jc w:val="center"/>
              <w:rPr>
                <w:rFonts w:ascii="宋体" w:hAnsi="宋体"/>
                <w:b/>
                <w:bCs/>
                <w:sz w:val="24"/>
                <w:szCs w:val="24"/>
              </w:rPr>
            </w:pPr>
            <w:r>
              <w:rPr>
                <w:rFonts w:hint="eastAsia" w:ascii="宋体" w:hAnsi="宋体"/>
                <w:b/>
                <w:bCs/>
                <w:sz w:val="24"/>
                <w:szCs w:val="24"/>
              </w:rPr>
              <w:t>二、</w:t>
            </w:r>
            <w:r>
              <w:rPr>
                <w:rFonts w:ascii="宋体" w:hAnsi="宋体"/>
                <w:b/>
                <w:bCs/>
                <w:sz w:val="24"/>
                <w:szCs w:val="24"/>
              </w:rPr>
              <w:t>履行合同能力</w:t>
            </w:r>
          </w:p>
        </w:tc>
        <w:tc>
          <w:tcPr>
            <w:tcW w:w="1671" w:type="dxa"/>
            <w:vMerge w:val="restart"/>
            <w:vAlign w:val="center"/>
          </w:tcPr>
          <w:p>
            <w:pPr>
              <w:spacing w:line="240" w:lineRule="atLeast"/>
              <w:jc w:val="center"/>
              <w:rPr>
                <w:rFonts w:ascii="宋体" w:hAnsi="宋体"/>
                <w:szCs w:val="21"/>
              </w:rPr>
            </w:pPr>
            <w:r>
              <w:rPr>
                <w:rFonts w:ascii="宋体" w:hAnsi="宋体"/>
                <w:szCs w:val="21"/>
              </w:rPr>
              <w:t>人员</w:t>
            </w:r>
          </w:p>
          <w:p>
            <w:pPr>
              <w:spacing w:line="240" w:lineRule="atLeast"/>
              <w:jc w:val="center"/>
              <w:rPr>
                <w:rFonts w:ascii="宋体" w:hAnsi="宋体"/>
                <w:szCs w:val="21"/>
              </w:rPr>
            </w:pPr>
            <w:r>
              <w:rPr>
                <w:rFonts w:hint="eastAsia" w:ascii="宋体" w:hAnsi="宋体"/>
                <w:sz w:val="11"/>
                <w:szCs w:val="21"/>
              </w:rPr>
              <w:t>（1.各类人员，每个企业均必须配备；2.所有人员应提供近三个月连续在深圳缴纳社保的证明；3.园林专业指与园林绿化工程规划、设计、施工及养护管理相关的专业，包括园林（含园林规划设计、园林植物、风景园林、园林绿化等）、园艺、城市规划、景观、植物（含植保、森保等）、风景旅游、环境艺术等专业。4.人员同时有两证时，仅按1人认定。）</w:t>
            </w:r>
          </w:p>
        </w:tc>
        <w:tc>
          <w:tcPr>
            <w:tcW w:w="457" w:type="dxa"/>
            <w:vMerge w:val="restart"/>
            <w:vAlign w:val="center"/>
          </w:tcPr>
          <w:p>
            <w:pPr>
              <w:spacing w:line="360" w:lineRule="auto"/>
              <w:jc w:val="center"/>
              <w:rPr>
                <w:rFonts w:ascii="宋体" w:hAnsi="宋体"/>
                <w:szCs w:val="21"/>
              </w:rPr>
            </w:pPr>
            <w:r>
              <w:rPr>
                <w:rFonts w:hint="eastAsia" w:ascii="宋体" w:hAnsi="宋体"/>
                <w:szCs w:val="21"/>
              </w:rPr>
              <w:t>27</w:t>
            </w: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sz w:val="18"/>
                <w:szCs w:val="21"/>
              </w:rPr>
              <w:t>园林专业高级或市政一级注册建造师，每人得2分，满分6分</w:t>
            </w:r>
          </w:p>
        </w:tc>
        <w:tc>
          <w:tcPr>
            <w:tcW w:w="457" w:type="dxa"/>
            <w:vAlign w:val="center"/>
          </w:tcPr>
          <w:p>
            <w:pPr>
              <w:jc w:val="center"/>
              <w:rPr>
                <w:rFonts w:ascii="宋体" w:hAnsi="宋体"/>
                <w:szCs w:val="21"/>
              </w:rPr>
            </w:pPr>
          </w:p>
        </w:tc>
        <w:tc>
          <w:tcPr>
            <w:tcW w:w="531"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园林专业</w:t>
            </w:r>
            <w:r>
              <w:rPr>
                <w:rFonts w:hint="eastAsia" w:ascii="宋体" w:hAnsi="宋体"/>
                <w:sz w:val="18"/>
                <w:szCs w:val="21"/>
              </w:rPr>
              <w:t>工程师，每人得1分，满分8分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sz w:val="18"/>
                <w:szCs w:val="21"/>
              </w:rPr>
              <w:t>市政二级注册建造师，每人得0.5分，满分2分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建筑专业工程师及以上，</w:t>
            </w:r>
            <w:r>
              <w:rPr>
                <w:rFonts w:hint="eastAsia" w:ascii="宋体" w:hAnsi="宋体"/>
                <w:sz w:val="18"/>
                <w:szCs w:val="21"/>
              </w:rPr>
              <w:t>每人得1分，满分1分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给排水专业工程师及以上，</w:t>
            </w:r>
            <w:r>
              <w:rPr>
                <w:rFonts w:hint="eastAsia" w:ascii="宋体" w:hAnsi="宋体"/>
                <w:sz w:val="18"/>
                <w:szCs w:val="21"/>
              </w:rPr>
              <w:t>每人得1分，满分1分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电气专业工程师及以上，</w:t>
            </w:r>
            <w:r>
              <w:rPr>
                <w:rFonts w:hint="eastAsia" w:ascii="宋体" w:hAnsi="宋体"/>
                <w:sz w:val="18"/>
                <w:szCs w:val="21"/>
              </w:rPr>
              <w:t>每人得1分，满分1分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其他初级及以上职称人员，</w:t>
            </w:r>
            <w:r>
              <w:rPr>
                <w:rFonts w:hint="eastAsia" w:ascii="宋体" w:hAnsi="宋体"/>
                <w:sz w:val="18"/>
                <w:szCs w:val="21"/>
              </w:rPr>
              <w:t>每人得0.2分，满分1分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高级绿化（花卉、植保）工，</w:t>
            </w:r>
            <w:r>
              <w:rPr>
                <w:rFonts w:hint="eastAsia" w:ascii="宋体" w:hAnsi="宋体"/>
                <w:sz w:val="18"/>
                <w:szCs w:val="21"/>
              </w:rPr>
              <w:t>每人得0.5分，满分2.5分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中级绿化（花卉、植保）工，</w:t>
            </w:r>
            <w:r>
              <w:rPr>
                <w:rFonts w:hint="eastAsia" w:ascii="宋体" w:hAnsi="宋体"/>
                <w:sz w:val="18"/>
                <w:szCs w:val="21"/>
              </w:rPr>
              <w:t>每人得0.3分，满分3分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ascii="宋体" w:hAnsi="宋体" w:cs="宋体"/>
                <w:kern w:val="0"/>
                <w:sz w:val="18"/>
                <w:szCs w:val="21"/>
              </w:rPr>
              <w:t>瓦工（泥工）中级及以上，</w:t>
            </w:r>
            <w:r>
              <w:rPr>
                <w:rFonts w:hint="eastAsia" w:ascii="宋体" w:hAnsi="宋体"/>
                <w:sz w:val="18"/>
                <w:szCs w:val="21"/>
              </w:rPr>
              <w:t>每人得0.1分，满分0.5分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cs="宋体"/>
                <w:kern w:val="0"/>
                <w:sz w:val="18"/>
              </w:rPr>
              <w:t>木工中级及以上，</w:t>
            </w:r>
            <w:r>
              <w:rPr>
                <w:rFonts w:hint="eastAsia" w:ascii="宋体" w:hAnsi="宋体"/>
                <w:sz w:val="18"/>
                <w:szCs w:val="21"/>
              </w:rPr>
              <w:t>每人得0.1分，满分0.5分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4"/>
              </w:numPr>
              <w:ind w:firstLineChars="0"/>
              <w:jc w:val="left"/>
              <w:rPr>
                <w:rFonts w:ascii="宋体" w:hAnsi="宋体"/>
                <w:sz w:val="18"/>
                <w:szCs w:val="21"/>
              </w:rPr>
            </w:pPr>
            <w:r>
              <w:rPr>
                <w:rFonts w:hint="eastAsia" w:cs="宋体"/>
                <w:kern w:val="0"/>
                <w:sz w:val="18"/>
              </w:rPr>
              <w:t>电工中级及以上，</w:t>
            </w:r>
            <w:r>
              <w:rPr>
                <w:rFonts w:hint="eastAsia" w:ascii="宋体" w:hAnsi="宋体"/>
                <w:sz w:val="18"/>
                <w:szCs w:val="21"/>
              </w:rPr>
              <w:t>每人得0.1分，满分0.5分</w:t>
            </w:r>
          </w:p>
        </w:tc>
        <w:tc>
          <w:tcPr>
            <w:tcW w:w="457" w:type="dxa"/>
            <w:vAlign w:val="center"/>
          </w:tcPr>
          <w:p>
            <w:pPr>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701" w:type="dxa"/>
            <w:vMerge w:val="continue"/>
            <w:vAlign w:val="center"/>
          </w:tcPr>
          <w:p>
            <w:pPr>
              <w:jc w:val="center"/>
              <w:rPr>
                <w:rFonts w:ascii="宋体" w:hAnsi="宋体"/>
                <w:b/>
                <w:bCs/>
                <w:sz w:val="24"/>
                <w:szCs w:val="24"/>
              </w:rPr>
            </w:pPr>
          </w:p>
        </w:tc>
        <w:tc>
          <w:tcPr>
            <w:tcW w:w="1671" w:type="dxa"/>
            <w:vMerge w:val="restart"/>
            <w:vAlign w:val="center"/>
          </w:tcPr>
          <w:p>
            <w:pPr>
              <w:spacing w:line="360" w:lineRule="auto"/>
              <w:jc w:val="center"/>
              <w:rPr>
                <w:rFonts w:ascii="宋体" w:hAnsi="宋体"/>
                <w:szCs w:val="21"/>
              </w:rPr>
            </w:pPr>
            <w:r>
              <w:rPr>
                <w:rFonts w:hint="eastAsia" w:ascii="宋体" w:hAnsi="宋体"/>
                <w:szCs w:val="21"/>
              </w:rPr>
              <w:t>企业基本信息</w:t>
            </w:r>
          </w:p>
        </w:tc>
        <w:tc>
          <w:tcPr>
            <w:tcW w:w="457" w:type="dxa"/>
            <w:vMerge w:val="restart"/>
            <w:vAlign w:val="center"/>
          </w:tcPr>
          <w:p>
            <w:pPr>
              <w:spacing w:line="360" w:lineRule="auto"/>
              <w:jc w:val="center"/>
              <w:rPr>
                <w:rFonts w:ascii="宋体" w:hAnsi="宋体"/>
                <w:szCs w:val="21"/>
              </w:rPr>
            </w:pPr>
            <w:r>
              <w:rPr>
                <w:rFonts w:hint="eastAsia" w:ascii="宋体" w:hAnsi="宋体"/>
                <w:szCs w:val="21"/>
              </w:rPr>
              <w:t>8</w:t>
            </w:r>
          </w:p>
        </w:tc>
        <w:tc>
          <w:tcPr>
            <w:tcW w:w="5469" w:type="dxa"/>
            <w:vAlign w:val="center"/>
          </w:tcPr>
          <w:p>
            <w:pPr>
              <w:pStyle w:val="9"/>
              <w:numPr>
                <w:ilvl w:val="0"/>
                <w:numId w:val="5"/>
              </w:numPr>
              <w:ind w:left="113" w:hanging="113" w:firstLineChars="0"/>
              <w:jc w:val="left"/>
              <w:rPr>
                <w:sz w:val="18"/>
              </w:rPr>
            </w:pPr>
            <w:r>
              <w:rPr>
                <w:rFonts w:hint="eastAsia"/>
                <w:sz w:val="18"/>
              </w:rPr>
              <w:t>营业执照：经营范围应含有园林绿化施工、养护和经营能力，营业执照处于有效期内，得1分。（企业提供营业执照副本原件核验）满分1分。</w:t>
            </w:r>
          </w:p>
        </w:tc>
        <w:tc>
          <w:tcPr>
            <w:tcW w:w="457" w:type="dxa"/>
            <w:vAlign w:val="center"/>
          </w:tcPr>
          <w:p>
            <w:pPr>
              <w:spacing w:line="360" w:lineRule="auto"/>
              <w:jc w:val="center"/>
              <w:rPr>
                <w:rFonts w:ascii="宋体" w:hAnsi="宋体"/>
                <w:szCs w:val="21"/>
              </w:rPr>
            </w:pPr>
          </w:p>
        </w:tc>
        <w:tc>
          <w:tcPr>
            <w:tcW w:w="531"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5"/>
              </w:numPr>
              <w:ind w:left="148" w:hanging="148" w:firstLineChars="0"/>
              <w:jc w:val="left"/>
              <w:rPr>
                <w:sz w:val="18"/>
              </w:rPr>
            </w:pPr>
            <w:r>
              <w:rPr>
                <w:rFonts w:hint="eastAsia"/>
                <w:sz w:val="18"/>
              </w:rPr>
              <w:t>经营年限： 1年以下不得分；1（含）-5年得0.5分；5（含）-10年得1分；10（含）-15年得1.5分；15年及以上得2分。（企业提供工商管理局的档案查询资料原件或原有的城市园林资质证书做为证明资料）满分2分。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5"/>
              </w:numPr>
              <w:ind w:left="148" w:hanging="148" w:firstLineChars="0"/>
              <w:jc w:val="left"/>
              <w:rPr>
                <w:sz w:val="18"/>
              </w:rPr>
            </w:pPr>
            <w:r>
              <w:rPr>
                <w:rFonts w:hint="eastAsia"/>
                <w:sz w:val="18"/>
              </w:rPr>
              <w:t>注册资本：实缴注册资本200万以下，得0.1分；每增加200万元，加0.1分，以此类推。（企业提供验资报告或财务审计报告原件核验）满分1分。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5"/>
              </w:numPr>
              <w:ind w:left="148" w:hanging="148" w:firstLineChars="0"/>
              <w:jc w:val="left"/>
              <w:rPr>
                <w:sz w:val="18"/>
              </w:rPr>
            </w:pPr>
            <w:r>
              <w:rPr>
                <w:sz w:val="18"/>
              </w:rPr>
              <w:t>在深</w:t>
            </w:r>
            <w:r>
              <w:rPr>
                <w:rFonts w:hint="eastAsia"/>
                <w:sz w:val="18"/>
              </w:rPr>
              <w:t>圳有</w:t>
            </w:r>
            <w:r>
              <w:rPr>
                <w:sz w:val="18"/>
              </w:rPr>
              <w:t>固定办公场所</w:t>
            </w:r>
            <w:r>
              <w:rPr>
                <w:rFonts w:hint="eastAsia"/>
                <w:sz w:val="18"/>
              </w:rPr>
              <w:t>：自有产权的：办公场所100m</w:t>
            </w:r>
            <w:r>
              <w:rPr>
                <w:rFonts w:hint="eastAsia"/>
                <w:sz w:val="18"/>
                <w:vertAlign w:val="superscript"/>
              </w:rPr>
              <w:t>2</w:t>
            </w:r>
            <w:r>
              <w:rPr>
                <w:rFonts w:hint="eastAsia"/>
                <w:sz w:val="18"/>
              </w:rPr>
              <w:t>以下，不得分，100m</w:t>
            </w:r>
            <w:r>
              <w:rPr>
                <w:rFonts w:hint="eastAsia"/>
                <w:sz w:val="18"/>
                <w:vertAlign w:val="superscript"/>
              </w:rPr>
              <w:t>2</w:t>
            </w:r>
            <w:r>
              <w:rPr>
                <w:rFonts w:hint="eastAsia"/>
                <w:sz w:val="18"/>
              </w:rPr>
              <w:t>（含）-200m</w:t>
            </w:r>
            <w:r>
              <w:rPr>
                <w:rFonts w:hint="eastAsia"/>
                <w:sz w:val="18"/>
                <w:vertAlign w:val="superscript"/>
              </w:rPr>
              <w:t>2</w:t>
            </w:r>
            <w:r>
              <w:rPr>
                <w:rFonts w:hint="eastAsia"/>
                <w:sz w:val="18"/>
              </w:rPr>
              <w:t>得0.5分，200m</w:t>
            </w:r>
            <w:r>
              <w:rPr>
                <w:rFonts w:hint="eastAsia"/>
                <w:sz w:val="18"/>
                <w:vertAlign w:val="superscript"/>
              </w:rPr>
              <w:t>2</w:t>
            </w:r>
            <w:r>
              <w:rPr>
                <w:rFonts w:hint="eastAsia"/>
                <w:sz w:val="18"/>
              </w:rPr>
              <w:t>（含）-300m</w:t>
            </w:r>
            <w:r>
              <w:rPr>
                <w:rFonts w:hint="eastAsia"/>
                <w:sz w:val="18"/>
                <w:vertAlign w:val="superscript"/>
              </w:rPr>
              <w:t>2</w:t>
            </w:r>
            <w:r>
              <w:rPr>
                <w:rFonts w:hint="eastAsia"/>
                <w:sz w:val="18"/>
              </w:rPr>
              <w:t>得1分，300m</w:t>
            </w:r>
            <w:r>
              <w:rPr>
                <w:rFonts w:hint="eastAsia"/>
                <w:sz w:val="18"/>
                <w:vertAlign w:val="superscript"/>
              </w:rPr>
              <w:t>2</w:t>
            </w:r>
            <w:r>
              <w:rPr>
                <w:rFonts w:hint="eastAsia"/>
                <w:sz w:val="18"/>
              </w:rPr>
              <w:t>（含）-400m</w:t>
            </w:r>
            <w:r>
              <w:rPr>
                <w:rFonts w:hint="eastAsia"/>
                <w:sz w:val="18"/>
                <w:vertAlign w:val="superscript"/>
              </w:rPr>
              <w:t>2</w:t>
            </w:r>
            <w:r>
              <w:rPr>
                <w:rFonts w:hint="eastAsia"/>
                <w:sz w:val="18"/>
              </w:rPr>
              <w:t>以上得1.5分,400m</w:t>
            </w:r>
            <w:r>
              <w:rPr>
                <w:rFonts w:hint="eastAsia"/>
                <w:sz w:val="18"/>
                <w:vertAlign w:val="superscript"/>
              </w:rPr>
              <w:t>2</w:t>
            </w:r>
            <w:r>
              <w:rPr>
                <w:rFonts w:hint="eastAsia"/>
                <w:sz w:val="18"/>
              </w:rPr>
              <w:t>及以上得2分；租赁的，分值减半。（自有产权的，提供产权证原件核验;租赁的提供租赁合同原件和至少一年的租金正式发票原件核验）满分2分。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5"/>
              </w:numPr>
              <w:ind w:left="148" w:hanging="148" w:firstLineChars="0"/>
              <w:jc w:val="left"/>
              <w:rPr>
                <w:sz w:val="18"/>
              </w:rPr>
            </w:pPr>
            <w:r>
              <w:rPr>
                <w:sz w:val="18"/>
              </w:rPr>
              <w:t>苗木基地</w:t>
            </w:r>
            <w:r>
              <w:rPr>
                <w:rFonts w:hint="eastAsia"/>
                <w:sz w:val="18"/>
              </w:rPr>
              <w:t>：无苗圃或未填报苗圃，得0分；自有苗圃100亩以下得0.3分；100（含）-300亩得0.5分，300（含）-500亩得0.5分，500亩及以上得1分。土地租赁合同应有出租方上级部门的鉴证或确认，提供原件核验，全资子公司的自有苗圃也可合并计算面积）满分1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pStyle w:val="9"/>
              <w:numPr>
                <w:ilvl w:val="0"/>
                <w:numId w:val="5"/>
              </w:numPr>
              <w:ind w:left="148" w:hanging="148" w:firstLineChars="0"/>
              <w:jc w:val="left"/>
              <w:rPr>
                <w:sz w:val="18"/>
              </w:rPr>
            </w:pPr>
            <w:r>
              <w:rPr>
                <w:sz w:val="18"/>
              </w:rPr>
              <w:t>管理体系认证</w:t>
            </w:r>
            <w:r>
              <w:rPr>
                <w:rFonts w:hint="eastAsia"/>
                <w:sz w:val="18"/>
              </w:rPr>
              <w:t>：企业通过质量管理体系认证得0.5；通过环境管理体系认证得0.25分；通过职业健康安全管理体系认证得0.25分。（管理体系认证证书应在有效期内。企业提供原件核验）满分1分。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bl>
    <w:p>
      <w:pPr>
        <w:rPr>
          <w:rFonts w:ascii="宋体" w:hAnsi="宋体"/>
          <w:sz w:val="24"/>
          <w:szCs w:val="24"/>
        </w:rPr>
      </w:pP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71"/>
        <w:gridCol w:w="457"/>
        <w:gridCol w:w="5469"/>
        <w:gridCol w:w="45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01" w:type="dxa"/>
            <w:vAlign w:val="center"/>
          </w:tcPr>
          <w:p>
            <w:pPr>
              <w:jc w:val="center"/>
              <w:rPr>
                <w:rFonts w:ascii="宋体" w:hAnsi="宋体"/>
                <w:b/>
                <w:bCs/>
                <w:sz w:val="24"/>
                <w:szCs w:val="24"/>
              </w:rPr>
            </w:pPr>
            <w:r>
              <w:rPr>
                <w:rFonts w:ascii="宋体" w:hAnsi="宋体"/>
                <w:sz w:val="24"/>
                <w:szCs w:val="24"/>
              </w:rPr>
              <w:br w:type="page"/>
            </w:r>
            <w:r>
              <w:rPr>
                <w:rFonts w:hint="eastAsia" w:ascii="宋体" w:hAnsi="宋体"/>
                <w:b/>
                <w:bCs/>
                <w:sz w:val="24"/>
                <w:szCs w:val="24"/>
              </w:rPr>
              <w:t>项目</w:t>
            </w:r>
          </w:p>
        </w:tc>
        <w:tc>
          <w:tcPr>
            <w:tcW w:w="1671" w:type="dxa"/>
            <w:vAlign w:val="center"/>
          </w:tcPr>
          <w:p>
            <w:pPr>
              <w:spacing w:line="360" w:lineRule="auto"/>
              <w:jc w:val="center"/>
              <w:rPr>
                <w:rFonts w:ascii="宋体" w:hAnsi="宋体"/>
                <w:b/>
                <w:bCs/>
                <w:sz w:val="24"/>
                <w:szCs w:val="24"/>
              </w:rPr>
            </w:pPr>
            <w:r>
              <w:rPr>
                <w:rFonts w:hint="eastAsia" w:ascii="宋体" w:hAnsi="宋体"/>
                <w:b/>
                <w:bCs/>
                <w:sz w:val="24"/>
                <w:szCs w:val="24"/>
              </w:rPr>
              <w:t>评 价 内 容</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满分分值</w:t>
            </w:r>
          </w:p>
        </w:tc>
        <w:tc>
          <w:tcPr>
            <w:tcW w:w="5469" w:type="dxa"/>
            <w:vAlign w:val="center"/>
          </w:tcPr>
          <w:p>
            <w:pPr>
              <w:spacing w:line="360" w:lineRule="auto"/>
              <w:jc w:val="center"/>
              <w:rPr>
                <w:rFonts w:ascii="宋体" w:hAnsi="宋体"/>
                <w:b/>
                <w:bCs/>
                <w:sz w:val="24"/>
                <w:szCs w:val="24"/>
              </w:rPr>
            </w:pPr>
            <w:r>
              <w:rPr>
                <w:rFonts w:hint="eastAsia" w:ascii="宋体" w:hAnsi="宋体"/>
                <w:b/>
                <w:bCs/>
                <w:sz w:val="24"/>
                <w:szCs w:val="24"/>
              </w:rPr>
              <w:t>评  价  标  准</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得分</w:t>
            </w:r>
          </w:p>
        </w:tc>
        <w:tc>
          <w:tcPr>
            <w:tcW w:w="531" w:type="dxa"/>
            <w:vAlign w:val="center"/>
          </w:tcPr>
          <w:p>
            <w:pPr>
              <w:spacing w:line="360" w:lineRule="auto"/>
              <w:jc w:val="center"/>
              <w:rPr>
                <w:rFonts w:ascii="宋体" w:hAnsi="宋体"/>
                <w:b/>
                <w:bCs/>
                <w:sz w:val="24"/>
                <w:szCs w:val="24"/>
              </w:rPr>
            </w:pPr>
            <w:r>
              <w:rPr>
                <w:rFonts w:hint="eastAsia" w:ascii="宋体" w:hAnsi="宋体"/>
                <w:b/>
                <w:bCs/>
                <w:sz w:val="24"/>
                <w:szCs w:val="24"/>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jc w:val="center"/>
        </w:trPr>
        <w:tc>
          <w:tcPr>
            <w:tcW w:w="701" w:type="dxa"/>
            <w:vMerge w:val="restart"/>
            <w:vAlign w:val="center"/>
          </w:tcPr>
          <w:p>
            <w:pPr>
              <w:spacing w:line="480" w:lineRule="auto"/>
              <w:jc w:val="center"/>
              <w:rPr>
                <w:rFonts w:ascii="宋体" w:hAnsi="宋体"/>
                <w:b/>
                <w:bCs/>
                <w:sz w:val="24"/>
                <w:szCs w:val="24"/>
              </w:rPr>
            </w:pPr>
            <w:r>
              <w:rPr>
                <w:rFonts w:hint="eastAsia" w:ascii="宋体" w:hAnsi="宋体"/>
                <w:b/>
                <w:bCs/>
                <w:sz w:val="24"/>
                <w:szCs w:val="24"/>
              </w:rPr>
              <w:t>三、企业经济发展情况</w:t>
            </w:r>
          </w:p>
        </w:tc>
        <w:tc>
          <w:tcPr>
            <w:tcW w:w="1671" w:type="dxa"/>
            <w:vMerge w:val="restart"/>
            <w:vAlign w:val="center"/>
          </w:tcPr>
          <w:p>
            <w:pPr>
              <w:spacing w:line="240" w:lineRule="atLeast"/>
              <w:jc w:val="center"/>
              <w:rPr>
                <w:rFonts w:ascii="宋体" w:hAnsi="宋体"/>
                <w:szCs w:val="21"/>
              </w:rPr>
            </w:pPr>
            <w:r>
              <w:rPr>
                <w:rFonts w:hint="eastAsia" w:ascii="宋体" w:hAnsi="宋体"/>
                <w:szCs w:val="21"/>
              </w:rPr>
              <w:t>企业纳税情况：</w:t>
            </w:r>
          </w:p>
          <w:p>
            <w:pPr>
              <w:spacing w:line="240" w:lineRule="atLeast"/>
              <w:jc w:val="center"/>
              <w:rPr>
                <w:rFonts w:ascii="宋体" w:hAnsi="宋体"/>
                <w:szCs w:val="21"/>
              </w:rPr>
            </w:pPr>
            <w:r>
              <w:rPr>
                <w:rFonts w:hint="eastAsia" w:ascii="宋体" w:hAnsi="宋体"/>
                <w:sz w:val="15"/>
                <w:szCs w:val="21"/>
              </w:rPr>
              <w:t>园林绿化企业在深圳市行政区内缴交的上一个年度（1月1日至12月31日）的累积增值税及所得税纳税额（所得税含企业所得税、个人所得税）。信用管理机构向税务部门征集的企业纳税额低于企业自己申报额的，则以税务部门提供的数据为准。）</w:t>
            </w:r>
          </w:p>
        </w:tc>
        <w:tc>
          <w:tcPr>
            <w:tcW w:w="457" w:type="dxa"/>
            <w:vMerge w:val="restart"/>
            <w:vAlign w:val="center"/>
          </w:tcPr>
          <w:p>
            <w:pPr>
              <w:spacing w:line="360" w:lineRule="auto"/>
              <w:jc w:val="center"/>
              <w:rPr>
                <w:rFonts w:ascii="宋体" w:hAnsi="宋体"/>
                <w:szCs w:val="21"/>
              </w:rPr>
            </w:pPr>
            <w:r>
              <w:rPr>
                <w:rFonts w:hint="eastAsia" w:ascii="宋体" w:hAnsi="宋体"/>
                <w:szCs w:val="21"/>
              </w:rPr>
              <w:t>10</w:t>
            </w:r>
          </w:p>
        </w:tc>
        <w:tc>
          <w:tcPr>
            <w:tcW w:w="5469" w:type="dxa"/>
            <w:vAlign w:val="center"/>
          </w:tcPr>
          <w:p>
            <w:pPr>
              <w:spacing w:line="360" w:lineRule="auto"/>
              <w:ind w:left="420" w:hanging="420" w:hangingChars="200"/>
              <w:jc w:val="left"/>
              <w:rPr>
                <w:rFonts w:ascii="宋体" w:hAnsi="宋体"/>
                <w:szCs w:val="21"/>
              </w:rPr>
            </w:pPr>
            <w:r>
              <w:rPr>
                <w:rFonts w:hint="eastAsia" w:ascii="宋体" w:hAnsi="宋体"/>
                <w:szCs w:val="21"/>
              </w:rPr>
              <w:t>1、增值税（满分分值5分），照章纳税得5分；</w:t>
            </w:r>
          </w:p>
        </w:tc>
        <w:tc>
          <w:tcPr>
            <w:tcW w:w="457" w:type="dxa"/>
            <w:vAlign w:val="center"/>
          </w:tcPr>
          <w:p>
            <w:pPr>
              <w:spacing w:line="360" w:lineRule="auto"/>
              <w:jc w:val="center"/>
              <w:rPr>
                <w:rFonts w:ascii="宋体" w:hAnsi="宋体"/>
                <w:szCs w:val="21"/>
              </w:rPr>
            </w:pPr>
          </w:p>
        </w:tc>
        <w:tc>
          <w:tcPr>
            <w:tcW w:w="531"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Merge w:val="continue"/>
            <w:vAlign w:val="center"/>
          </w:tcPr>
          <w:p>
            <w:pPr>
              <w:spacing w:line="240" w:lineRule="atLeast"/>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spacing w:line="360" w:lineRule="auto"/>
              <w:ind w:left="290" w:hanging="289" w:hangingChars="138"/>
              <w:jc w:val="left"/>
              <w:rPr>
                <w:rFonts w:ascii="宋体" w:hAnsi="宋体"/>
                <w:szCs w:val="21"/>
              </w:rPr>
            </w:pPr>
            <w:r>
              <w:rPr>
                <w:rFonts w:hint="eastAsia" w:ascii="宋体" w:hAnsi="宋体"/>
                <w:szCs w:val="21"/>
              </w:rPr>
              <w:t>2、所得税（含企业所得税、个人所得税，满分分值5分），按上一年度累计纳税总额50-100万计1分；纳税总额101-200万计2分；纳税总额201-300万计3分，纳税总额301-400万计4分；纳税总额500万以上计5分。</w:t>
            </w:r>
          </w:p>
        </w:tc>
        <w:tc>
          <w:tcPr>
            <w:tcW w:w="457" w:type="dxa"/>
            <w:vAlign w:val="center"/>
          </w:tcPr>
          <w:p>
            <w:pPr>
              <w:spacing w:line="360" w:lineRule="auto"/>
              <w:jc w:val="center"/>
              <w:rPr>
                <w:rFonts w:ascii="宋体" w:hAnsi="宋体"/>
                <w:szCs w:val="21"/>
              </w:rPr>
            </w:pPr>
          </w:p>
        </w:tc>
        <w:tc>
          <w:tcPr>
            <w:tcW w:w="53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2" w:hRule="atLeast"/>
          <w:jc w:val="center"/>
        </w:trPr>
        <w:tc>
          <w:tcPr>
            <w:tcW w:w="701" w:type="dxa"/>
            <w:vMerge w:val="continue"/>
            <w:vAlign w:val="center"/>
          </w:tcPr>
          <w:p>
            <w:pPr>
              <w:spacing w:line="480" w:lineRule="auto"/>
              <w:jc w:val="center"/>
              <w:rPr>
                <w:rFonts w:ascii="宋体" w:hAnsi="宋体"/>
                <w:b/>
                <w:bCs/>
                <w:sz w:val="24"/>
                <w:szCs w:val="24"/>
              </w:rPr>
            </w:pPr>
          </w:p>
        </w:tc>
        <w:tc>
          <w:tcPr>
            <w:tcW w:w="1671" w:type="dxa"/>
            <w:vAlign w:val="center"/>
          </w:tcPr>
          <w:p>
            <w:pPr>
              <w:spacing w:line="360" w:lineRule="auto"/>
              <w:jc w:val="center"/>
              <w:rPr>
                <w:rFonts w:ascii="宋体" w:hAnsi="宋体"/>
                <w:szCs w:val="21"/>
              </w:rPr>
            </w:pPr>
            <w:r>
              <w:rPr>
                <w:rFonts w:hint="eastAsia" w:ascii="宋体" w:hAnsi="宋体"/>
                <w:szCs w:val="21"/>
              </w:rPr>
              <w:t>企业收入情况：</w:t>
            </w:r>
          </w:p>
          <w:p>
            <w:pPr>
              <w:spacing w:line="240" w:lineRule="atLeast"/>
              <w:jc w:val="center"/>
              <w:rPr>
                <w:rFonts w:ascii="宋体" w:hAnsi="宋体"/>
                <w:szCs w:val="21"/>
              </w:rPr>
            </w:pPr>
            <w:r>
              <w:rPr>
                <w:rFonts w:hint="eastAsia" w:ascii="宋体" w:hAnsi="宋体"/>
                <w:sz w:val="15"/>
                <w:szCs w:val="21"/>
              </w:rPr>
              <w:t>企业在上一个年度（1月1日至12月31日）完成的园林绿化产值（本市企业的产值申报本市和非本市的园林绿化产值，非本市企业仅申报深圳市范围的园林绿化产值）。</w:t>
            </w:r>
          </w:p>
        </w:tc>
        <w:tc>
          <w:tcPr>
            <w:tcW w:w="457" w:type="dxa"/>
            <w:vAlign w:val="center"/>
          </w:tcPr>
          <w:p>
            <w:pPr>
              <w:spacing w:line="360" w:lineRule="auto"/>
              <w:jc w:val="center"/>
              <w:rPr>
                <w:rFonts w:ascii="宋体" w:hAnsi="宋体"/>
                <w:szCs w:val="21"/>
              </w:rPr>
            </w:pPr>
            <w:r>
              <w:rPr>
                <w:rFonts w:hint="eastAsia" w:ascii="宋体" w:hAnsi="宋体"/>
                <w:szCs w:val="21"/>
              </w:rPr>
              <w:t>15</w:t>
            </w:r>
          </w:p>
        </w:tc>
        <w:tc>
          <w:tcPr>
            <w:tcW w:w="5469" w:type="dxa"/>
            <w:vAlign w:val="center"/>
          </w:tcPr>
          <w:p>
            <w:pPr>
              <w:spacing w:line="360" w:lineRule="auto"/>
              <w:jc w:val="left"/>
              <w:rPr>
                <w:rFonts w:ascii="宋体" w:hAnsi="宋体"/>
                <w:szCs w:val="21"/>
              </w:rPr>
            </w:pPr>
            <w:r>
              <w:rPr>
                <w:rFonts w:hint="eastAsia" w:ascii="宋体" w:hAnsi="宋体"/>
                <w:szCs w:val="21"/>
              </w:rPr>
              <w:t>按上一年度园林绿化产值总额排名（由高到低）：</w:t>
            </w:r>
          </w:p>
          <w:p>
            <w:pPr>
              <w:pStyle w:val="9"/>
              <w:numPr>
                <w:ilvl w:val="0"/>
                <w:numId w:val="6"/>
              </w:numPr>
              <w:spacing w:line="360" w:lineRule="auto"/>
              <w:ind w:firstLineChars="0"/>
              <w:jc w:val="left"/>
              <w:rPr>
                <w:rFonts w:ascii="宋体" w:hAnsi="宋体"/>
                <w:szCs w:val="21"/>
              </w:rPr>
            </w:pPr>
            <w:r>
              <w:rPr>
                <w:rFonts w:hint="eastAsia" w:ascii="宋体" w:hAnsi="宋体"/>
                <w:szCs w:val="21"/>
              </w:rPr>
              <w:t>一年度园林绿化产值总额1个亿以上得15分；</w:t>
            </w:r>
          </w:p>
          <w:p>
            <w:pPr>
              <w:pStyle w:val="9"/>
              <w:numPr>
                <w:ilvl w:val="0"/>
                <w:numId w:val="6"/>
              </w:numPr>
              <w:spacing w:line="360" w:lineRule="auto"/>
              <w:ind w:firstLineChars="0"/>
              <w:jc w:val="left"/>
              <w:rPr>
                <w:rFonts w:ascii="宋体" w:hAnsi="宋体"/>
                <w:szCs w:val="21"/>
              </w:rPr>
            </w:pPr>
            <w:r>
              <w:rPr>
                <w:rFonts w:hint="eastAsia" w:ascii="宋体" w:hAnsi="宋体"/>
                <w:szCs w:val="21"/>
              </w:rPr>
              <w:t xml:space="preserve">一年度园林绿化产值总额5000万-1个亿以上得12分； </w:t>
            </w:r>
          </w:p>
          <w:p>
            <w:pPr>
              <w:pStyle w:val="9"/>
              <w:numPr>
                <w:ilvl w:val="0"/>
                <w:numId w:val="6"/>
              </w:numPr>
              <w:spacing w:line="360" w:lineRule="auto"/>
              <w:ind w:firstLineChars="0"/>
              <w:jc w:val="left"/>
              <w:rPr>
                <w:rFonts w:ascii="宋体" w:hAnsi="宋体"/>
                <w:szCs w:val="21"/>
              </w:rPr>
            </w:pPr>
            <w:r>
              <w:rPr>
                <w:rFonts w:hint="eastAsia" w:ascii="宋体" w:hAnsi="宋体"/>
                <w:szCs w:val="21"/>
              </w:rPr>
              <w:t>一年度园林绿化产值总额3000万-5000万以上得9分；</w:t>
            </w:r>
          </w:p>
          <w:p>
            <w:pPr>
              <w:pStyle w:val="9"/>
              <w:numPr>
                <w:ilvl w:val="0"/>
                <w:numId w:val="6"/>
              </w:numPr>
              <w:spacing w:line="360" w:lineRule="auto"/>
              <w:ind w:firstLineChars="0"/>
              <w:jc w:val="left"/>
              <w:rPr>
                <w:rFonts w:ascii="宋体" w:hAnsi="宋体"/>
                <w:szCs w:val="21"/>
              </w:rPr>
            </w:pPr>
            <w:r>
              <w:rPr>
                <w:rFonts w:hint="eastAsia" w:ascii="宋体" w:hAnsi="宋体"/>
                <w:szCs w:val="21"/>
              </w:rPr>
              <w:t>一年度园林绿化产值总额2000万-3000万以上得6分；</w:t>
            </w:r>
          </w:p>
          <w:p>
            <w:pPr>
              <w:pStyle w:val="9"/>
              <w:numPr>
                <w:ilvl w:val="0"/>
                <w:numId w:val="6"/>
              </w:numPr>
              <w:spacing w:line="360" w:lineRule="auto"/>
              <w:ind w:firstLineChars="0"/>
              <w:jc w:val="left"/>
              <w:rPr>
                <w:rFonts w:ascii="宋体" w:hAnsi="宋体"/>
                <w:szCs w:val="21"/>
              </w:rPr>
            </w:pPr>
            <w:r>
              <w:rPr>
                <w:rFonts w:hint="eastAsia" w:ascii="宋体" w:hAnsi="宋体"/>
                <w:szCs w:val="21"/>
              </w:rPr>
              <w:t>一年度园林绿化产值总额1000万-2000万以上得3分；</w:t>
            </w:r>
          </w:p>
          <w:p>
            <w:pPr>
              <w:pStyle w:val="9"/>
              <w:numPr>
                <w:ilvl w:val="0"/>
                <w:numId w:val="6"/>
              </w:numPr>
              <w:spacing w:line="360" w:lineRule="auto"/>
              <w:ind w:firstLineChars="0"/>
              <w:jc w:val="left"/>
              <w:rPr>
                <w:rFonts w:ascii="宋体" w:hAnsi="宋体"/>
                <w:szCs w:val="21"/>
              </w:rPr>
            </w:pPr>
            <w:r>
              <w:rPr>
                <w:rFonts w:hint="eastAsia" w:ascii="宋体" w:hAnsi="宋体"/>
                <w:szCs w:val="21"/>
              </w:rPr>
              <w:t>一年度园林绿化产值总额1000万以下得2分；</w:t>
            </w:r>
          </w:p>
          <w:p>
            <w:pPr>
              <w:pStyle w:val="9"/>
              <w:numPr>
                <w:ilvl w:val="0"/>
                <w:numId w:val="6"/>
              </w:numPr>
              <w:spacing w:line="360" w:lineRule="auto"/>
              <w:ind w:firstLineChars="0"/>
              <w:jc w:val="left"/>
              <w:rPr>
                <w:rFonts w:ascii="宋体" w:hAnsi="宋体"/>
                <w:szCs w:val="21"/>
              </w:rPr>
            </w:pPr>
            <w:r>
              <w:rPr>
                <w:rFonts w:hint="eastAsia" w:ascii="宋体" w:hAnsi="宋体"/>
                <w:szCs w:val="21"/>
              </w:rPr>
              <w:t>一年度园林绿化产值总额500万以下得1分。</w:t>
            </w:r>
          </w:p>
        </w:tc>
        <w:tc>
          <w:tcPr>
            <w:tcW w:w="457" w:type="dxa"/>
            <w:vAlign w:val="center"/>
          </w:tcPr>
          <w:p>
            <w:pPr>
              <w:spacing w:line="360" w:lineRule="auto"/>
              <w:jc w:val="center"/>
              <w:rPr>
                <w:szCs w:val="21"/>
              </w:rPr>
            </w:pPr>
          </w:p>
        </w:tc>
        <w:tc>
          <w:tcPr>
            <w:tcW w:w="531" w:type="dxa"/>
            <w:vAlign w:val="center"/>
          </w:tcPr>
          <w:p>
            <w:pPr>
              <w:spacing w:line="360" w:lineRule="auto"/>
              <w:jc w:val="center"/>
              <w:rPr>
                <w:rFonts w:ascii="宋体" w:hAnsi="宋体"/>
                <w:szCs w:val="21"/>
              </w:rPr>
            </w:pPr>
          </w:p>
        </w:tc>
      </w:tr>
    </w:tbl>
    <w:p>
      <w:pPr>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71"/>
        <w:gridCol w:w="457"/>
        <w:gridCol w:w="5469"/>
        <w:gridCol w:w="45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01" w:type="dxa"/>
            <w:vAlign w:val="center"/>
          </w:tcPr>
          <w:p>
            <w:pPr>
              <w:jc w:val="center"/>
              <w:rPr>
                <w:rFonts w:ascii="宋体" w:hAnsi="宋体"/>
                <w:b/>
                <w:bCs/>
                <w:sz w:val="24"/>
                <w:szCs w:val="24"/>
              </w:rPr>
            </w:pPr>
            <w:r>
              <w:rPr>
                <w:rFonts w:hint="eastAsia" w:ascii="宋体" w:hAnsi="宋体"/>
                <w:b/>
                <w:bCs/>
                <w:sz w:val="24"/>
                <w:szCs w:val="24"/>
              </w:rPr>
              <w:t>项目</w:t>
            </w:r>
          </w:p>
        </w:tc>
        <w:tc>
          <w:tcPr>
            <w:tcW w:w="1671" w:type="dxa"/>
            <w:vAlign w:val="center"/>
          </w:tcPr>
          <w:p>
            <w:pPr>
              <w:spacing w:line="360" w:lineRule="auto"/>
              <w:jc w:val="center"/>
              <w:rPr>
                <w:rFonts w:ascii="宋体" w:hAnsi="宋体"/>
                <w:b/>
                <w:bCs/>
                <w:sz w:val="24"/>
                <w:szCs w:val="24"/>
              </w:rPr>
            </w:pPr>
            <w:r>
              <w:rPr>
                <w:rFonts w:hint="eastAsia" w:ascii="宋体" w:hAnsi="宋体"/>
                <w:b/>
                <w:bCs/>
                <w:sz w:val="24"/>
                <w:szCs w:val="24"/>
              </w:rPr>
              <w:t>评 价 内 容</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满分分值</w:t>
            </w:r>
          </w:p>
        </w:tc>
        <w:tc>
          <w:tcPr>
            <w:tcW w:w="5469" w:type="dxa"/>
            <w:vAlign w:val="center"/>
          </w:tcPr>
          <w:p>
            <w:pPr>
              <w:spacing w:line="360" w:lineRule="auto"/>
              <w:jc w:val="center"/>
              <w:rPr>
                <w:rFonts w:ascii="宋体" w:hAnsi="宋体"/>
                <w:b/>
                <w:bCs/>
                <w:sz w:val="24"/>
                <w:szCs w:val="24"/>
              </w:rPr>
            </w:pPr>
            <w:r>
              <w:rPr>
                <w:rFonts w:hint="eastAsia" w:ascii="宋体" w:hAnsi="宋体"/>
                <w:b/>
                <w:bCs/>
                <w:sz w:val="24"/>
                <w:szCs w:val="24"/>
              </w:rPr>
              <w:t>评  价  标  准</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得分</w:t>
            </w:r>
          </w:p>
        </w:tc>
        <w:tc>
          <w:tcPr>
            <w:tcW w:w="531" w:type="dxa"/>
            <w:vAlign w:val="center"/>
          </w:tcPr>
          <w:p>
            <w:pPr>
              <w:spacing w:line="360" w:lineRule="auto"/>
              <w:jc w:val="center"/>
              <w:rPr>
                <w:rFonts w:ascii="宋体" w:hAnsi="宋体"/>
                <w:b/>
                <w:bCs/>
                <w:sz w:val="24"/>
                <w:szCs w:val="24"/>
              </w:rPr>
            </w:pPr>
            <w:r>
              <w:rPr>
                <w:rFonts w:hint="eastAsia" w:ascii="宋体" w:hAnsi="宋体"/>
                <w:b/>
                <w:bCs/>
                <w:sz w:val="24"/>
                <w:szCs w:val="24"/>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701" w:type="dxa"/>
            <w:vMerge w:val="restart"/>
            <w:vAlign w:val="center"/>
          </w:tcPr>
          <w:p>
            <w:pPr>
              <w:jc w:val="center"/>
              <w:rPr>
                <w:rFonts w:ascii="宋体" w:hAnsi="宋体"/>
                <w:b/>
                <w:bCs/>
                <w:sz w:val="24"/>
                <w:szCs w:val="24"/>
              </w:rPr>
            </w:pPr>
          </w:p>
        </w:tc>
        <w:tc>
          <w:tcPr>
            <w:tcW w:w="1671" w:type="dxa"/>
            <w:vMerge w:val="restart"/>
            <w:vAlign w:val="center"/>
          </w:tcPr>
          <w:p>
            <w:pPr>
              <w:spacing w:line="360" w:lineRule="auto"/>
              <w:jc w:val="center"/>
              <w:rPr>
                <w:rFonts w:ascii="宋体" w:hAnsi="宋体"/>
                <w:szCs w:val="21"/>
              </w:rPr>
            </w:pPr>
            <w:r>
              <w:rPr>
                <w:rFonts w:hint="eastAsia" w:ascii="宋体" w:hAnsi="宋体"/>
                <w:szCs w:val="21"/>
              </w:rPr>
              <w:t>表彰奖励</w:t>
            </w:r>
          </w:p>
          <w:p>
            <w:pPr>
              <w:spacing w:line="240" w:lineRule="atLeast"/>
              <w:jc w:val="left"/>
              <w:rPr>
                <w:sz w:val="15"/>
                <w:szCs w:val="21"/>
              </w:rPr>
            </w:pPr>
            <w:r>
              <w:rPr>
                <w:rFonts w:hint="eastAsia"/>
                <w:sz w:val="15"/>
                <w:szCs w:val="21"/>
              </w:rPr>
              <w:t>（1.工程相关的奖励以园林绿化类奖项为准，非园林绿化类的奖项不计分值；2.注册地非本市的企业仅记录在深圳行政区域内的项目或去的奖项和表彰，非深圳行政区域内的项目获取的奖项和表彰不予记录；3.同一企业、同一项目、同一性质的不同级别荣誉，按照最高级别计分、不做累积得分；4.奖励信息日期一正式发文的日期为准。评价时点上溯3年内有效。）</w:t>
            </w:r>
          </w:p>
        </w:tc>
        <w:tc>
          <w:tcPr>
            <w:tcW w:w="457" w:type="dxa"/>
            <w:vMerge w:val="restart"/>
            <w:vAlign w:val="center"/>
          </w:tcPr>
          <w:p>
            <w:pPr>
              <w:spacing w:line="360" w:lineRule="auto"/>
              <w:jc w:val="center"/>
              <w:rPr>
                <w:rFonts w:ascii="宋体" w:hAnsi="宋体"/>
                <w:szCs w:val="21"/>
              </w:rPr>
            </w:pPr>
            <w:r>
              <w:rPr>
                <w:rFonts w:hint="eastAsia" w:ascii="宋体" w:hAnsi="宋体"/>
                <w:szCs w:val="21"/>
                <w:lang w:val="en-US" w:eastAsia="zh-CN"/>
              </w:rPr>
              <w:t>2</w:t>
            </w:r>
            <w:bookmarkStart w:id="0" w:name="_GoBack"/>
            <w:bookmarkEnd w:id="0"/>
            <w:r>
              <w:rPr>
                <w:rFonts w:hint="eastAsia" w:ascii="宋体" w:hAnsi="宋体"/>
                <w:szCs w:val="21"/>
              </w:rPr>
              <w:t>5</w:t>
            </w:r>
          </w:p>
        </w:tc>
        <w:tc>
          <w:tcPr>
            <w:tcW w:w="5469" w:type="dxa"/>
            <w:vAlign w:val="center"/>
          </w:tcPr>
          <w:p>
            <w:pPr>
              <w:ind w:left="266" w:hanging="266" w:hangingChars="148"/>
              <w:rPr>
                <w:sz w:val="18"/>
              </w:rPr>
            </w:pPr>
            <w:r>
              <w:rPr>
                <w:rFonts w:hint="eastAsia"/>
                <w:sz w:val="18"/>
              </w:rPr>
              <w:t>1、</w:t>
            </w:r>
            <w:r>
              <w:rPr>
                <w:sz w:val="18"/>
              </w:rPr>
              <w:t>优秀</w:t>
            </w:r>
            <w:r>
              <w:rPr>
                <w:rFonts w:hint="eastAsia"/>
                <w:sz w:val="18"/>
              </w:rPr>
              <w:t>（优良）工程奖：国家风景园林学会优秀工程奖：大金奖2.0分、金奖1.5分、银奖1.0分、铜奖0.8分；广东省风景园林协会优良样板工程（</w:t>
            </w:r>
            <w:r>
              <w:rPr>
                <w:sz w:val="18"/>
              </w:rPr>
              <w:t>含管理养护</w:t>
            </w:r>
            <w:r>
              <w:rPr>
                <w:rFonts w:hint="eastAsia"/>
                <w:sz w:val="18"/>
              </w:rPr>
              <w:t>）奖及深圳市风景园林协会优秀工程（含养护、立体绿化）奖：大金奖1.5分、金奖1.0分、银奖0.8分、铜奖0.4分。此项累计不超过10分。</w:t>
            </w:r>
          </w:p>
        </w:tc>
        <w:tc>
          <w:tcPr>
            <w:tcW w:w="457" w:type="dxa"/>
            <w:vAlign w:val="center"/>
          </w:tcPr>
          <w:p>
            <w:pPr>
              <w:spacing w:line="360" w:lineRule="auto"/>
              <w:rPr>
                <w:szCs w:val="21"/>
              </w:rPr>
            </w:pPr>
          </w:p>
        </w:tc>
        <w:tc>
          <w:tcPr>
            <w:tcW w:w="531" w:type="dxa"/>
            <w:vMerge w:val="restar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ind w:left="266" w:hanging="266" w:hangingChars="148"/>
              <w:rPr>
                <w:sz w:val="18"/>
              </w:rPr>
            </w:pPr>
            <w:r>
              <w:rPr>
                <w:rFonts w:hint="eastAsia"/>
                <w:sz w:val="18"/>
              </w:rPr>
              <w:t>2、科技进步奖：主持完成的园林项目获深圳市科技进步一等奖或广东省科技进步二等奖及以上奖，每项2分；获深圳市科技进步二等奖或广东省科技进步奖三等奖，每项1.5分；获国家风景园林学会或深圳市风景园林协会科技进步一等奖1.2分、二等奖1.0分、三等奖0.8分。参加得分减半。此项总计不超过4分。</w:t>
            </w:r>
          </w:p>
        </w:tc>
        <w:tc>
          <w:tcPr>
            <w:tcW w:w="457" w:type="dxa"/>
            <w:vAlign w:val="center"/>
          </w:tcPr>
          <w:p>
            <w:pPr>
              <w:spacing w:line="360" w:lineRule="auto"/>
              <w:rPr>
                <w:szCs w:val="21"/>
              </w:rPr>
            </w:pPr>
          </w:p>
        </w:tc>
        <w:tc>
          <w:tcPr>
            <w:tcW w:w="531"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ind w:left="266" w:hanging="266" w:hangingChars="148"/>
              <w:rPr>
                <w:sz w:val="18"/>
              </w:rPr>
            </w:pPr>
            <w:r>
              <w:rPr>
                <w:rFonts w:hint="eastAsia"/>
                <w:sz w:val="18"/>
              </w:rPr>
              <w:t>3、高新技术企业：国家高新技术企业1分，深圳市高新技术企业0.3分。</w:t>
            </w:r>
          </w:p>
        </w:tc>
        <w:tc>
          <w:tcPr>
            <w:tcW w:w="457" w:type="dxa"/>
            <w:vAlign w:val="center"/>
          </w:tcPr>
          <w:p>
            <w:pPr>
              <w:spacing w:line="360" w:lineRule="auto"/>
              <w:rPr>
                <w:szCs w:val="21"/>
              </w:rPr>
            </w:pPr>
          </w:p>
        </w:tc>
        <w:tc>
          <w:tcPr>
            <w:tcW w:w="531"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ind w:left="266" w:hanging="266" w:hangingChars="148"/>
              <w:rPr>
                <w:sz w:val="18"/>
              </w:rPr>
            </w:pPr>
            <w:r>
              <w:rPr>
                <w:rFonts w:hint="eastAsia"/>
                <w:sz w:val="18"/>
              </w:rPr>
              <w:t>4、优秀规划设计奖：主持完成的项目获国家风景园林学会或深圳风景园林协会优秀规划设计一等奖1分，二等奖0.8分，三等奖0.4分；参加得分减半。本项累计不超过2分。</w:t>
            </w:r>
          </w:p>
        </w:tc>
        <w:tc>
          <w:tcPr>
            <w:tcW w:w="457" w:type="dxa"/>
            <w:vAlign w:val="center"/>
          </w:tcPr>
          <w:p>
            <w:pPr>
              <w:spacing w:line="360" w:lineRule="auto"/>
              <w:rPr>
                <w:szCs w:val="21"/>
              </w:rPr>
            </w:pPr>
          </w:p>
        </w:tc>
        <w:tc>
          <w:tcPr>
            <w:tcW w:w="531"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ind w:left="266" w:hanging="266" w:hangingChars="148"/>
              <w:rPr>
                <w:sz w:val="18"/>
              </w:rPr>
            </w:pPr>
            <w:r>
              <w:rPr>
                <w:rFonts w:hint="eastAsia"/>
                <w:sz w:val="18"/>
              </w:rPr>
              <w:t>5、园林植物新品种和园林工程专利：国家品种审定委员会认定的园林植物新品种，每一个1分；省品种审定委员会认定的园林植物新品种，每一个0.5分；园林工程发明专利每一项0.3分，实用新型专利每一项0.1分。本项累计不超过4分。</w:t>
            </w:r>
          </w:p>
        </w:tc>
        <w:tc>
          <w:tcPr>
            <w:tcW w:w="457" w:type="dxa"/>
            <w:vAlign w:val="center"/>
          </w:tcPr>
          <w:p>
            <w:pPr>
              <w:spacing w:line="360" w:lineRule="auto"/>
              <w:rPr>
                <w:szCs w:val="21"/>
              </w:rPr>
            </w:pPr>
          </w:p>
        </w:tc>
        <w:tc>
          <w:tcPr>
            <w:tcW w:w="531"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ind w:left="266" w:hanging="266" w:hangingChars="148"/>
              <w:rPr>
                <w:sz w:val="18"/>
              </w:rPr>
            </w:pPr>
            <w:r>
              <w:rPr>
                <w:rFonts w:hint="eastAsia"/>
                <w:sz w:val="18"/>
              </w:rPr>
              <w:t>6、园林标准规范：主持完成国家或行业标准、规范编写，每一项1分；主持完成广东省或深圳市行业标准、规范编写，每一项0.5分；参加得分减半。本项累计不超过2分。</w:t>
            </w:r>
          </w:p>
        </w:tc>
        <w:tc>
          <w:tcPr>
            <w:tcW w:w="457" w:type="dxa"/>
            <w:vAlign w:val="center"/>
          </w:tcPr>
          <w:p>
            <w:pPr>
              <w:spacing w:line="360" w:lineRule="auto"/>
              <w:rPr>
                <w:szCs w:val="21"/>
              </w:rPr>
            </w:pPr>
          </w:p>
        </w:tc>
        <w:tc>
          <w:tcPr>
            <w:tcW w:w="531"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01" w:type="dxa"/>
            <w:vMerge w:val="continue"/>
            <w:vAlign w:val="center"/>
          </w:tcPr>
          <w:p>
            <w:pPr>
              <w:jc w:val="center"/>
              <w:rPr>
                <w:rFonts w:ascii="宋体" w:hAnsi="宋体"/>
                <w:b/>
                <w:bCs/>
                <w:sz w:val="24"/>
                <w:szCs w:val="24"/>
              </w:rPr>
            </w:pPr>
          </w:p>
        </w:tc>
        <w:tc>
          <w:tcPr>
            <w:tcW w:w="1671" w:type="dxa"/>
            <w:vMerge w:val="continue"/>
            <w:vAlign w:val="center"/>
          </w:tcPr>
          <w:p>
            <w:pPr>
              <w:spacing w:line="360" w:lineRule="auto"/>
              <w:jc w:val="center"/>
              <w:rPr>
                <w:rFonts w:ascii="宋体" w:hAnsi="宋体"/>
                <w:szCs w:val="21"/>
              </w:rPr>
            </w:pPr>
          </w:p>
        </w:tc>
        <w:tc>
          <w:tcPr>
            <w:tcW w:w="457" w:type="dxa"/>
            <w:vMerge w:val="continue"/>
            <w:vAlign w:val="center"/>
          </w:tcPr>
          <w:p>
            <w:pPr>
              <w:spacing w:line="360" w:lineRule="auto"/>
              <w:jc w:val="center"/>
              <w:rPr>
                <w:rFonts w:ascii="宋体" w:hAnsi="宋体"/>
                <w:szCs w:val="21"/>
              </w:rPr>
            </w:pPr>
          </w:p>
        </w:tc>
        <w:tc>
          <w:tcPr>
            <w:tcW w:w="5469" w:type="dxa"/>
            <w:vAlign w:val="center"/>
          </w:tcPr>
          <w:p>
            <w:pPr>
              <w:ind w:left="266" w:hanging="266" w:hangingChars="148"/>
              <w:rPr>
                <w:sz w:val="18"/>
              </w:rPr>
            </w:pPr>
            <w:r>
              <w:rPr>
                <w:rFonts w:hint="eastAsia"/>
                <w:sz w:val="18"/>
              </w:rPr>
              <w:t>7、守合同重信誉：连续10年被广东省工商局评为“守合同，重信誉”单位2分，上年度被地级以上工商局评为“守合同，重信誉”单位1分。</w:t>
            </w:r>
          </w:p>
        </w:tc>
        <w:tc>
          <w:tcPr>
            <w:tcW w:w="457" w:type="dxa"/>
            <w:vAlign w:val="center"/>
          </w:tcPr>
          <w:p>
            <w:pPr>
              <w:spacing w:line="360" w:lineRule="auto"/>
              <w:rPr>
                <w:szCs w:val="21"/>
              </w:rPr>
            </w:pPr>
          </w:p>
        </w:tc>
        <w:tc>
          <w:tcPr>
            <w:tcW w:w="531" w:type="dxa"/>
            <w:vMerge w:val="continue"/>
            <w:vAlign w:val="center"/>
          </w:tcPr>
          <w:p>
            <w:pPr>
              <w:spacing w:line="360" w:lineRule="auto"/>
              <w:jc w:val="center"/>
              <w:rPr>
                <w:szCs w:val="21"/>
              </w:rPr>
            </w:pPr>
          </w:p>
        </w:tc>
      </w:tr>
    </w:tbl>
    <w:p>
      <w:pPr>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12"/>
        <w:gridCol w:w="579"/>
        <w:gridCol w:w="5439"/>
        <w:gridCol w:w="457"/>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698" w:type="dxa"/>
            <w:vAlign w:val="center"/>
          </w:tcPr>
          <w:p>
            <w:pPr>
              <w:jc w:val="center"/>
              <w:rPr>
                <w:rFonts w:ascii="宋体" w:hAnsi="宋体"/>
                <w:b/>
                <w:bCs/>
                <w:sz w:val="24"/>
                <w:szCs w:val="24"/>
              </w:rPr>
            </w:pPr>
            <w:r>
              <w:rPr>
                <w:rFonts w:hint="eastAsia" w:ascii="宋体" w:hAnsi="宋体"/>
                <w:b/>
                <w:bCs/>
                <w:sz w:val="24"/>
                <w:szCs w:val="24"/>
              </w:rPr>
              <w:t>项目</w:t>
            </w:r>
          </w:p>
        </w:tc>
        <w:tc>
          <w:tcPr>
            <w:tcW w:w="1612" w:type="dxa"/>
            <w:vAlign w:val="center"/>
          </w:tcPr>
          <w:p>
            <w:pPr>
              <w:spacing w:line="360" w:lineRule="auto"/>
              <w:jc w:val="center"/>
              <w:rPr>
                <w:rFonts w:ascii="宋体" w:hAnsi="宋体"/>
                <w:b/>
                <w:bCs/>
                <w:sz w:val="24"/>
                <w:szCs w:val="24"/>
              </w:rPr>
            </w:pPr>
            <w:r>
              <w:rPr>
                <w:rFonts w:hint="eastAsia" w:ascii="宋体" w:hAnsi="宋体"/>
                <w:b/>
                <w:bCs/>
                <w:sz w:val="24"/>
                <w:szCs w:val="24"/>
              </w:rPr>
              <w:t>评 价 内 容</w:t>
            </w:r>
          </w:p>
        </w:tc>
        <w:tc>
          <w:tcPr>
            <w:tcW w:w="579" w:type="dxa"/>
            <w:vAlign w:val="center"/>
          </w:tcPr>
          <w:p>
            <w:pPr>
              <w:spacing w:line="360" w:lineRule="auto"/>
              <w:jc w:val="center"/>
              <w:rPr>
                <w:rFonts w:ascii="宋体" w:hAnsi="宋体"/>
                <w:b/>
                <w:bCs/>
                <w:sz w:val="24"/>
                <w:szCs w:val="24"/>
              </w:rPr>
            </w:pPr>
            <w:r>
              <w:rPr>
                <w:rFonts w:hint="eastAsia" w:ascii="宋体" w:hAnsi="宋体"/>
                <w:b/>
                <w:bCs/>
                <w:sz w:val="24"/>
                <w:szCs w:val="24"/>
              </w:rPr>
              <w:t>满分分值</w:t>
            </w:r>
          </w:p>
        </w:tc>
        <w:tc>
          <w:tcPr>
            <w:tcW w:w="5439" w:type="dxa"/>
            <w:vAlign w:val="center"/>
          </w:tcPr>
          <w:p>
            <w:pPr>
              <w:spacing w:line="360" w:lineRule="auto"/>
              <w:jc w:val="center"/>
              <w:rPr>
                <w:rFonts w:ascii="宋体" w:hAnsi="宋体"/>
                <w:b/>
                <w:bCs/>
                <w:sz w:val="24"/>
                <w:szCs w:val="24"/>
              </w:rPr>
            </w:pPr>
            <w:r>
              <w:rPr>
                <w:rFonts w:hint="eastAsia" w:ascii="宋体" w:hAnsi="宋体"/>
                <w:b/>
                <w:bCs/>
                <w:sz w:val="24"/>
                <w:szCs w:val="24"/>
              </w:rPr>
              <w:t>评  价  标  准</w:t>
            </w:r>
          </w:p>
        </w:tc>
        <w:tc>
          <w:tcPr>
            <w:tcW w:w="457" w:type="dxa"/>
            <w:vAlign w:val="center"/>
          </w:tcPr>
          <w:p>
            <w:pPr>
              <w:spacing w:line="360" w:lineRule="auto"/>
              <w:jc w:val="center"/>
              <w:rPr>
                <w:rFonts w:ascii="宋体" w:hAnsi="宋体"/>
                <w:b/>
                <w:bCs/>
                <w:sz w:val="24"/>
                <w:szCs w:val="24"/>
              </w:rPr>
            </w:pPr>
            <w:r>
              <w:rPr>
                <w:rFonts w:hint="eastAsia" w:ascii="宋体" w:hAnsi="宋体"/>
                <w:b/>
                <w:bCs/>
                <w:sz w:val="24"/>
                <w:szCs w:val="24"/>
              </w:rPr>
              <w:t>得分</w:t>
            </w:r>
          </w:p>
        </w:tc>
        <w:tc>
          <w:tcPr>
            <w:tcW w:w="501" w:type="dxa"/>
            <w:vAlign w:val="center"/>
          </w:tcPr>
          <w:p>
            <w:pPr>
              <w:spacing w:line="360" w:lineRule="auto"/>
              <w:jc w:val="center"/>
              <w:rPr>
                <w:rFonts w:ascii="宋体" w:hAnsi="宋体"/>
                <w:b/>
                <w:bCs/>
                <w:sz w:val="24"/>
                <w:szCs w:val="24"/>
              </w:rPr>
            </w:pPr>
            <w:r>
              <w:rPr>
                <w:rFonts w:hint="eastAsia" w:ascii="宋体" w:hAnsi="宋体"/>
                <w:b/>
                <w:bCs/>
                <w:sz w:val="24"/>
                <w:szCs w:val="24"/>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698" w:type="dxa"/>
            <w:vAlign w:val="center"/>
          </w:tcPr>
          <w:p>
            <w:pPr>
              <w:spacing w:line="480" w:lineRule="auto"/>
              <w:jc w:val="center"/>
              <w:rPr>
                <w:rFonts w:ascii="宋体" w:hAnsi="宋体"/>
                <w:b/>
                <w:bCs/>
                <w:sz w:val="24"/>
                <w:szCs w:val="24"/>
              </w:rPr>
            </w:pPr>
            <w:r>
              <w:rPr>
                <w:rFonts w:hint="eastAsia" w:ascii="宋体" w:hAnsi="宋体"/>
                <w:b/>
                <w:bCs/>
                <w:sz w:val="24"/>
                <w:szCs w:val="24"/>
              </w:rPr>
              <w:t>五、失信评价</w:t>
            </w:r>
          </w:p>
        </w:tc>
        <w:tc>
          <w:tcPr>
            <w:tcW w:w="1612" w:type="dxa"/>
            <w:vAlign w:val="center"/>
          </w:tcPr>
          <w:p>
            <w:pPr>
              <w:spacing w:line="360" w:lineRule="auto"/>
              <w:jc w:val="center"/>
              <w:rPr>
                <w:rFonts w:ascii="宋体" w:hAnsi="宋体"/>
                <w:bCs/>
                <w:szCs w:val="21"/>
              </w:rPr>
            </w:pPr>
            <w:r>
              <w:rPr>
                <w:rFonts w:hint="eastAsia" w:ascii="宋体" w:hAnsi="宋体"/>
                <w:bCs/>
                <w:szCs w:val="21"/>
              </w:rPr>
              <w:t>重大失信行为</w:t>
            </w:r>
          </w:p>
          <w:p>
            <w:pPr>
              <w:spacing w:line="240" w:lineRule="atLeast"/>
              <w:jc w:val="center"/>
              <w:rPr>
                <w:rFonts w:ascii="宋体" w:hAnsi="宋体"/>
                <w:bCs/>
                <w:sz w:val="15"/>
                <w:szCs w:val="15"/>
              </w:rPr>
            </w:pPr>
            <w:r>
              <w:rPr>
                <w:rFonts w:hint="eastAsia" w:ascii="宋体" w:hAnsi="宋体"/>
                <w:bCs/>
                <w:sz w:val="15"/>
                <w:szCs w:val="15"/>
              </w:rPr>
              <w:t>（</w:t>
            </w:r>
            <w:r>
              <w:rPr>
                <w:rFonts w:hint="eastAsia"/>
                <w:sz w:val="15"/>
                <w:szCs w:val="15"/>
              </w:rPr>
              <w:t>评价时点上溯3年）</w:t>
            </w:r>
          </w:p>
        </w:tc>
        <w:tc>
          <w:tcPr>
            <w:tcW w:w="579" w:type="dxa"/>
            <w:vAlign w:val="center"/>
          </w:tcPr>
          <w:p>
            <w:pPr>
              <w:spacing w:line="360" w:lineRule="auto"/>
              <w:jc w:val="center"/>
              <w:rPr>
                <w:rFonts w:ascii="宋体" w:hAnsi="宋体"/>
                <w:b/>
                <w:bCs/>
                <w:sz w:val="24"/>
                <w:szCs w:val="24"/>
              </w:rPr>
            </w:pPr>
            <w:r>
              <w:rPr>
                <w:rFonts w:hint="eastAsia" w:ascii="宋体" w:hAnsi="宋体"/>
                <w:b/>
                <w:bCs/>
                <w:sz w:val="24"/>
                <w:szCs w:val="24"/>
              </w:rPr>
              <w:t>-40</w:t>
            </w:r>
          </w:p>
        </w:tc>
        <w:tc>
          <w:tcPr>
            <w:tcW w:w="5439" w:type="dxa"/>
            <w:vAlign w:val="center"/>
          </w:tcPr>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发生较大及以上工程质量、生产安全责任事故，经调查认定对事故负有责任的。</w:t>
            </w:r>
          </w:p>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发生工程质量、安全事故，隐瞒不报、谎报，或阻碍调查，故意破坏事故现场，毁灭有关证据的。</w:t>
            </w:r>
          </w:p>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欺骗或欺诈客户及侵犯甲方权益的行为。</w:t>
            </w:r>
          </w:p>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因劳资纠纷发生重大群体事件。</w:t>
            </w:r>
          </w:p>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有商业贿赂行为，有不正当竞争、恶意竞标、违法分包行为的。</w:t>
            </w:r>
          </w:p>
          <w:p>
            <w:pPr>
              <w:pStyle w:val="9"/>
              <w:numPr>
                <w:ilvl w:val="0"/>
                <w:numId w:val="7"/>
              </w:numPr>
              <w:ind w:left="290" w:hanging="290" w:firstLineChars="0"/>
              <w:jc w:val="left"/>
              <w:rPr>
                <w:rFonts w:ascii="宋体" w:hAnsi="宋体"/>
                <w:bCs/>
                <w:sz w:val="18"/>
                <w:szCs w:val="24"/>
              </w:rPr>
            </w:pPr>
            <w:r>
              <w:rPr>
                <w:rFonts w:ascii="宋体" w:hAnsi="宋体"/>
                <w:bCs/>
                <w:sz w:val="18"/>
                <w:szCs w:val="24"/>
              </w:rPr>
              <w:t>存在因己方原因造成的重大违约事件</w:t>
            </w:r>
            <w:r>
              <w:rPr>
                <w:rFonts w:hint="eastAsia" w:ascii="宋体" w:hAnsi="宋体"/>
                <w:bCs/>
                <w:sz w:val="18"/>
                <w:szCs w:val="24"/>
              </w:rPr>
              <w:t>。</w:t>
            </w:r>
          </w:p>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因不良行为受法院判决的或受行政处罚而未按规定时间主动向协会申报的。</w:t>
            </w:r>
          </w:p>
          <w:p>
            <w:pPr>
              <w:pStyle w:val="9"/>
              <w:numPr>
                <w:ilvl w:val="0"/>
                <w:numId w:val="7"/>
              </w:numPr>
              <w:ind w:left="290" w:hanging="290" w:firstLineChars="0"/>
              <w:jc w:val="left"/>
              <w:rPr>
                <w:rFonts w:ascii="宋体" w:hAnsi="宋体"/>
                <w:bCs/>
                <w:sz w:val="18"/>
                <w:szCs w:val="24"/>
              </w:rPr>
            </w:pPr>
            <w:r>
              <w:rPr>
                <w:rFonts w:ascii="宋体" w:hAnsi="宋体"/>
                <w:bCs/>
                <w:sz w:val="18"/>
                <w:szCs w:val="24"/>
              </w:rPr>
              <w:t>存在偷税漏税现象</w:t>
            </w:r>
            <w:r>
              <w:rPr>
                <w:rFonts w:hint="eastAsia" w:ascii="宋体" w:hAnsi="宋体"/>
                <w:bCs/>
                <w:sz w:val="18"/>
                <w:szCs w:val="24"/>
              </w:rPr>
              <w:t>。</w:t>
            </w:r>
          </w:p>
          <w:p>
            <w:pPr>
              <w:pStyle w:val="9"/>
              <w:numPr>
                <w:ilvl w:val="0"/>
                <w:numId w:val="7"/>
              </w:numPr>
              <w:ind w:left="290" w:hanging="290" w:firstLineChars="0"/>
              <w:jc w:val="left"/>
              <w:rPr>
                <w:rFonts w:ascii="宋体" w:hAnsi="宋体"/>
                <w:bCs/>
                <w:sz w:val="18"/>
                <w:szCs w:val="24"/>
              </w:rPr>
            </w:pPr>
            <w:r>
              <w:rPr>
                <w:rFonts w:ascii="宋体" w:hAnsi="宋体"/>
                <w:bCs/>
                <w:sz w:val="18"/>
                <w:szCs w:val="24"/>
              </w:rPr>
              <w:t>伪造和弄虚作假</w:t>
            </w:r>
            <w:r>
              <w:rPr>
                <w:rFonts w:hint="eastAsia" w:ascii="宋体" w:hAnsi="宋体"/>
                <w:bCs/>
                <w:sz w:val="18"/>
                <w:szCs w:val="24"/>
              </w:rPr>
              <w:t>申报资料。</w:t>
            </w:r>
          </w:p>
          <w:p>
            <w:pPr>
              <w:pStyle w:val="9"/>
              <w:numPr>
                <w:ilvl w:val="0"/>
                <w:numId w:val="7"/>
              </w:numPr>
              <w:ind w:left="290" w:hanging="290" w:firstLineChars="0"/>
              <w:jc w:val="left"/>
              <w:rPr>
                <w:rFonts w:ascii="宋体" w:hAnsi="宋体"/>
                <w:bCs/>
                <w:sz w:val="18"/>
                <w:szCs w:val="24"/>
              </w:rPr>
            </w:pPr>
            <w:r>
              <w:rPr>
                <w:rFonts w:hint="eastAsia" w:ascii="宋体" w:hAnsi="宋体"/>
                <w:bCs/>
                <w:sz w:val="18"/>
                <w:szCs w:val="24"/>
              </w:rPr>
              <w:t>施工单位、劳务分包单位所承建（包）项目发生工资纠纷，经政府有关部门通知，预期未到场配合解决的。</w:t>
            </w:r>
          </w:p>
          <w:p>
            <w:pPr>
              <w:pStyle w:val="9"/>
              <w:numPr>
                <w:ilvl w:val="0"/>
                <w:numId w:val="7"/>
              </w:numPr>
              <w:ind w:left="290" w:hanging="290" w:firstLineChars="0"/>
              <w:jc w:val="left"/>
              <w:rPr>
                <w:rFonts w:ascii="宋体" w:hAnsi="宋体"/>
                <w:b/>
                <w:bCs/>
                <w:sz w:val="18"/>
                <w:szCs w:val="24"/>
              </w:rPr>
            </w:pPr>
            <w:r>
              <w:rPr>
                <w:rFonts w:hint="eastAsia" w:ascii="宋体" w:hAnsi="宋体"/>
                <w:bCs/>
                <w:sz w:val="18"/>
                <w:szCs w:val="24"/>
              </w:rPr>
              <w:t>被国家、省市列入建筑（园林绿化）施工行业黑名单有效记录的。</w:t>
            </w:r>
          </w:p>
          <w:p>
            <w:pPr>
              <w:pStyle w:val="9"/>
              <w:numPr>
                <w:ilvl w:val="0"/>
                <w:numId w:val="7"/>
              </w:numPr>
              <w:ind w:left="290" w:hanging="290" w:firstLineChars="0"/>
              <w:jc w:val="left"/>
              <w:rPr>
                <w:rFonts w:ascii="宋体" w:hAnsi="宋体"/>
                <w:bCs/>
                <w:sz w:val="18"/>
                <w:szCs w:val="24"/>
              </w:rPr>
            </w:pPr>
            <w:r>
              <w:rPr>
                <w:rFonts w:ascii="宋体" w:hAnsi="宋体"/>
                <w:bCs/>
                <w:sz w:val="18"/>
                <w:szCs w:val="24"/>
              </w:rPr>
              <w:t>有其他严重市场违规行为的</w:t>
            </w:r>
            <w:r>
              <w:rPr>
                <w:rFonts w:hint="eastAsia" w:ascii="宋体" w:hAnsi="宋体"/>
                <w:bCs/>
                <w:sz w:val="18"/>
                <w:szCs w:val="24"/>
              </w:rPr>
              <w:t>。</w:t>
            </w:r>
          </w:p>
        </w:tc>
        <w:tc>
          <w:tcPr>
            <w:tcW w:w="457" w:type="dxa"/>
            <w:vAlign w:val="center"/>
          </w:tcPr>
          <w:p>
            <w:pPr>
              <w:spacing w:line="360" w:lineRule="auto"/>
              <w:jc w:val="center"/>
              <w:rPr>
                <w:rFonts w:ascii="宋体" w:hAnsi="宋体"/>
                <w:b/>
                <w:bCs/>
                <w:sz w:val="24"/>
                <w:szCs w:val="24"/>
              </w:rPr>
            </w:pPr>
          </w:p>
        </w:tc>
        <w:tc>
          <w:tcPr>
            <w:tcW w:w="501" w:type="dxa"/>
            <w:vAlign w:val="center"/>
          </w:tcPr>
          <w:p>
            <w:pPr>
              <w:spacing w:line="360" w:lineRule="auto"/>
              <w:jc w:val="center"/>
              <w:rPr>
                <w:rFonts w:ascii="宋体" w:hAnsi="宋体"/>
                <w:b/>
                <w:bCs/>
                <w:sz w:val="24"/>
                <w:szCs w:val="24"/>
              </w:rPr>
            </w:pPr>
          </w:p>
        </w:tc>
      </w:tr>
    </w:tbl>
    <w:p>
      <w:pPr>
        <w:rPr>
          <w:rFonts w:ascii="宋体" w:hAnsi="宋体"/>
          <w:sz w:val="24"/>
          <w:szCs w:val="24"/>
        </w:rPr>
      </w:pPr>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47956FD"/>
    <w:multiLevelType w:val="multilevel"/>
    <w:tmpl w:val="347956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B20C4C"/>
    <w:multiLevelType w:val="multilevel"/>
    <w:tmpl w:val="3DB20C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A7189E"/>
    <w:multiLevelType w:val="multilevel"/>
    <w:tmpl w:val="43A7189E"/>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0F7E9B"/>
    <w:multiLevelType w:val="singleLevel"/>
    <w:tmpl w:val="550F7E9B"/>
    <w:lvl w:ilvl="0" w:tentative="0">
      <w:start w:val="1"/>
      <w:numFmt w:val="decimal"/>
      <w:suff w:val="nothing"/>
      <w:lvlText w:val="%1、"/>
      <w:lvlJc w:val="left"/>
    </w:lvl>
  </w:abstractNum>
  <w:abstractNum w:abstractNumId="5">
    <w:nsid w:val="61A1222B"/>
    <w:multiLevelType w:val="multilevel"/>
    <w:tmpl w:val="61A122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285B11"/>
    <w:multiLevelType w:val="multilevel"/>
    <w:tmpl w:val="78285B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0C1"/>
    <w:rsid w:val="000317B9"/>
    <w:rsid w:val="00050066"/>
    <w:rsid w:val="000A1F8E"/>
    <w:rsid w:val="000A6E06"/>
    <w:rsid w:val="000C11C8"/>
    <w:rsid w:val="000C5A1A"/>
    <w:rsid w:val="000C7D62"/>
    <w:rsid w:val="000E516D"/>
    <w:rsid w:val="00113C18"/>
    <w:rsid w:val="00117F9C"/>
    <w:rsid w:val="00125458"/>
    <w:rsid w:val="0013044B"/>
    <w:rsid w:val="00132F9F"/>
    <w:rsid w:val="00164F49"/>
    <w:rsid w:val="001704AF"/>
    <w:rsid w:val="00172A27"/>
    <w:rsid w:val="00173FEE"/>
    <w:rsid w:val="00180D3A"/>
    <w:rsid w:val="001823B3"/>
    <w:rsid w:val="001953B3"/>
    <w:rsid w:val="001A37C8"/>
    <w:rsid w:val="001B4458"/>
    <w:rsid w:val="001B7C3C"/>
    <w:rsid w:val="001C1CE5"/>
    <w:rsid w:val="00202770"/>
    <w:rsid w:val="00207EC7"/>
    <w:rsid w:val="00234348"/>
    <w:rsid w:val="00240303"/>
    <w:rsid w:val="00266463"/>
    <w:rsid w:val="00280EC7"/>
    <w:rsid w:val="002965E3"/>
    <w:rsid w:val="002A50C4"/>
    <w:rsid w:val="002B34C8"/>
    <w:rsid w:val="002B5E76"/>
    <w:rsid w:val="002F7429"/>
    <w:rsid w:val="00302EC0"/>
    <w:rsid w:val="00341D92"/>
    <w:rsid w:val="003457BE"/>
    <w:rsid w:val="0035562D"/>
    <w:rsid w:val="003A127B"/>
    <w:rsid w:val="003A43C6"/>
    <w:rsid w:val="003C1826"/>
    <w:rsid w:val="003C3BC9"/>
    <w:rsid w:val="003C7AD1"/>
    <w:rsid w:val="003E05C5"/>
    <w:rsid w:val="003E4292"/>
    <w:rsid w:val="0041159A"/>
    <w:rsid w:val="00417475"/>
    <w:rsid w:val="0045401F"/>
    <w:rsid w:val="004A3F3E"/>
    <w:rsid w:val="004B6D2C"/>
    <w:rsid w:val="004E00AE"/>
    <w:rsid w:val="00502D01"/>
    <w:rsid w:val="00514C22"/>
    <w:rsid w:val="00520C64"/>
    <w:rsid w:val="00545C7B"/>
    <w:rsid w:val="005617E0"/>
    <w:rsid w:val="0058519A"/>
    <w:rsid w:val="005B5C1B"/>
    <w:rsid w:val="005C696C"/>
    <w:rsid w:val="005D7C6B"/>
    <w:rsid w:val="005F4036"/>
    <w:rsid w:val="005F446B"/>
    <w:rsid w:val="00607128"/>
    <w:rsid w:val="00607EEE"/>
    <w:rsid w:val="00623DF9"/>
    <w:rsid w:val="00657710"/>
    <w:rsid w:val="00657F5A"/>
    <w:rsid w:val="00671C23"/>
    <w:rsid w:val="00683A70"/>
    <w:rsid w:val="0068412C"/>
    <w:rsid w:val="00692EAF"/>
    <w:rsid w:val="006C4A83"/>
    <w:rsid w:val="006C5A68"/>
    <w:rsid w:val="006E0561"/>
    <w:rsid w:val="00700B07"/>
    <w:rsid w:val="007032DB"/>
    <w:rsid w:val="00754370"/>
    <w:rsid w:val="00762FCB"/>
    <w:rsid w:val="00773C26"/>
    <w:rsid w:val="00780418"/>
    <w:rsid w:val="00787530"/>
    <w:rsid w:val="007B1539"/>
    <w:rsid w:val="007C2E32"/>
    <w:rsid w:val="00804860"/>
    <w:rsid w:val="0081709D"/>
    <w:rsid w:val="00820065"/>
    <w:rsid w:val="00843C03"/>
    <w:rsid w:val="00854E33"/>
    <w:rsid w:val="00881320"/>
    <w:rsid w:val="00887756"/>
    <w:rsid w:val="0089769A"/>
    <w:rsid w:val="008A2056"/>
    <w:rsid w:val="008B7904"/>
    <w:rsid w:val="008E5069"/>
    <w:rsid w:val="008E5314"/>
    <w:rsid w:val="008F72F6"/>
    <w:rsid w:val="009424F1"/>
    <w:rsid w:val="00952998"/>
    <w:rsid w:val="00970F94"/>
    <w:rsid w:val="00981EF4"/>
    <w:rsid w:val="00985753"/>
    <w:rsid w:val="009910AD"/>
    <w:rsid w:val="009B4CA9"/>
    <w:rsid w:val="009D214C"/>
    <w:rsid w:val="009E06D1"/>
    <w:rsid w:val="009F1504"/>
    <w:rsid w:val="00A62CE7"/>
    <w:rsid w:val="00A66F1A"/>
    <w:rsid w:val="00A71E88"/>
    <w:rsid w:val="00A8490B"/>
    <w:rsid w:val="00AA28DD"/>
    <w:rsid w:val="00AB38C9"/>
    <w:rsid w:val="00AC37CB"/>
    <w:rsid w:val="00AC3C62"/>
    <w:rsid w:val="00AC6DEC"/>
    <w:rsid w:val="00AE6459"/>
    <w:rsid w:val="00AF1BA1"/>
    <w:rsid w:val="00AF31DA"/>
    <w:rsid w:val="00AF77D1"/>
    <w:rsid w:val="00B047CB"/>
    <w:rsid w:val="00B24EE9"/>
    <w:rsid w:val="00B278C8"/>
    <w:rsid w:val="00B431CF"/>
    <w:rsid w:val="00B467CD"/>
    <w:rsid w:val="00B7364C"/>
    <w:rsid w:val="00B8775E"/>
    <w:rsid w:val="00B917B5"/>
    <w:rsid w:val="00BA1B2E"/>
    <w:rsid w:val="00BA6507"/>
    <w:rsid w:val="00BB336B"/>
    <w:rsid w:val="00BB61F3"/>
    <w:rsid w:val="00BE0877"/>
    <w:rsid w:val="00BE4E18"/>
    <w:rsid w:val="00BE52DA"/>
    <w:rsid w:val="00BE6CC4"/>
    <w:rsid w:val="00BE7026"/>
    <w:rsid w:val="00C70683"/>
    <w:rsid w:val="00C90797"/>
    <w:rsid w:val="00C95F61"/>
    <w:rsid w:val="00C97523"/>
    <w:rsid w:val="00CC214A"/>
    <w:rsid w:val="00CF7BA2"/>
    <w:rsid w:val="00D0035B"/>
    <w:rsid w:val="00D10530"/>
    <w:rsid w:val="00D35502"/>
    <w:rsid w:val="00D54910"/>
    <w:rsid w:val="00D61C0F"/>
    <w:rsid w:val="00D65151"/>
    <w:rsid w:val="00D82855"/>
    <w:rsid w:val="00D82EDC"/>
    <w:rsid w:val="00DB3D93"/>
    <w:rsid w:val="00DC6D92"/>
    <w:rsid w:val="00DD60AF"/>
    <w:rsid w:val="00DE0033"/>
    <w:rsid w:val="00DE2763"/>
    <w:rsid w:val="00DE3661"/>
    <w:rsid w:val="00DF6EDD"/>
    <w:rsid w:val="00E13BEC"/>
    <w:rsid w:val="00E256E1"/>
    <w:rsid w:val="00E636E6"/>
    <w:rsid w:val="00E63DA7"/>
    <w:rsid w:val="00E72908"/>
    <w:rsid w:val="00E904D3"/>
    <w:rsid w:val="00E923B8"/>
    <w:rsid w:val="00EA164F"/>
    <w:rsid w:val="00EA295B"/>
    <w:rsid w:val="00EE32FC"/>
    <w:rsid w:val="00F0073C"/>
    <w:rsid w:val="00F07002"/>
    <w:rsid w:val="00F16CD1"/>
    <w:rsid w:val="00F251DD"/>
    <w:rsid w:val="00F3323C"/>
    <w:rsid w:val="00F605FC"/>
    <w:rsid w:val="00F71AB9"/>
    <w:rsid w:val="00F8610F"/>
    <w:rsid w:val="00FA1EC9"/>
    <w:rsid w:val="00FA65A0"/>
    <w:rsid w:val="00FA72C9"/>
    <w:rsid w:val="00FB062F"/>
    <w:rsid w:val="00FF1A66"/>
    <w:rsid w:val="1524753B"/>
    <w:rsid w:val="1E174524"/>
    <w:rsid w:val="22AE5D73"/>
    <w:rsid w:val="3431735D"/>
    <w:rsid w:val="343244BC"/>
    <w:rsid w:val="68EC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Char Char Char Char"/>
    <w:basedOn w:val="1"/>
    <w:qFormat/>
    <w:uiPriority w:val="0"/>
    <w:pPr>
      <w:widowControl/>
      <w:spacing w:after="160" w:line="240" w:lineRule="exact"/>
      <w:jc w:val="left"/>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7C6D8-D504-443E-BD18-96DCAEF4CC9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541</Words>
  <Characters>3085</Characters>
  <Lines>25</Lines>
  <Paragraphs>7</Paragraphs>
  <TotalTime>3</TotalTime>
  <ScaleCrop>false</ScaleCrop>
  <LinksUpToDate>false</LinksUpToDate>
  <CharactersWithSpaces>3619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2019-09-19T02:29:00Z</dcterms:created>
  <dc:creator>Administrator</dc:creator>
  <cp:lastModifiedBy>Administrator</cp:lastModifiedBy>
  <cp:lastPrinted>2017-08-21T02:11:00Z</cp:lastPrinted>
  <dcterms:modified xsi:type="dcterms:W3CDTF">2019-09-19T04:21:58Z</dcterms:modified>
  <dc:title>广东省园林绿化企业信用评价计分标准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